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4BC17" w14:textId="13A8705D" w:rsidR="00372600" w:rsidRDefault="00534DF1">
      <w:r w:rsidRPr="0037754E">
        <w:rPr>
          <w:b/>
          <w:bCs/>
        </w:rPr>
        <w:t xml:space="preserve">POPLATKY ZA POSOUZENÍ </w:t>
      </w:r>
      <w:r w:rsidR="0037754E" w:rsidRPr="0037754E">
        <w:rPr>
          <w:b/>
          <w:bCs/>
        </w:rPr>
        <w:t>ČÁSTI II</w:t>
      </w:r>
      <w:r w:rsidRPr="0037754E">
        <w:rPr>
          <w:b/>
          <w:bCs/>
        </w:rPr>
        <w:t xml:space="preserve"> DOKUMENTACE</w:t>
      </w:r>
      <w:r w:rsidR="00EC5AEB">
        <w:rPr>
          <w:b/>
          <w:bCs/>
        </w:rPr>
        <w:t xml:space="preserve"> / </w:t>
      </w:r>
      <w:r w:rsidR="00EC5AEB">
        <w:rPr>
          <w:rStyle w:val="ts-alignment-element"/>
          <w:rFonts w:ascii="Segoe UI" w:hAnsi="Segoe UI" w:cs="Segoe UI"/>
          <w:sz w:val="21"/>
          <w:szCs w:val="21"/>
          <w:lang w:val="en"/>
        </w:rPr>
        <w:t>FEES</w:t>
      </w:r>
      <w:r w:rsidR="00EC5AEB">
        <w:rPr>
          <w:rFonts w:ascii="Segoe UI" w:hAnsi="Segoe UI" w:cs="Segoe UI"/>
          <w:sz w:val="21"/>
          <w:szCs w:val="21"/>
          <w:lang w:val="en"/>
        </w:rPr>
        <w:t xml:space="preserve"> </w:t>
      </w:r>
      <w:r w:rsidR="00EC5AEB">
        <w:rPr>
          <w:rStyle w:val="ts-alignment-element"/>
          <w:rFonts w:ascii="Segoe UI" w:hAnsi="Segoe UI" w:cs="Segoe UI"/>
          <w:sz w:val="21"/>
          <w:szCs w:val="21"/>
          <w:lang w:val="en"/>
        </w:rPr>
        <w:t>FOR</w:t>
      </w:r>
      <w:r w:rsidR="00EC5AEB">
        <w:rPr>
          <w:rFonts w:ascii="Segoe UI" w:hAnsi="Segoe UI" w:cs="Segoe UI"/>
          <w:sz w:val="21"/>
          <w:szCs w:val="21"/>
          <w:lang w:val="en"/>
        </w:rPr>
        <w:t xml:space="preserve"> </w:t>
      </w:r>
      <w:r w:rsidR="00EC5AEB">
        <w:rPr>
          <w:rStyle w:val="ts-alignment-element"/>
          <w:rFonts w:ascii="Segoe UI" w:hAnsi="Segoe UI" w:cs="Segoe UI"/>
          <w:sz w:val="21"/>
          <w:szCs w:val="21"/>
          <w:lang w:val="en"/>
        </w:rPr>
        <w:t>THE</w:t>
      </w:r>
      <w:r w:rsidR="00EC5AEB">
        <w:rPr>
          <w:rFonts w:ascii="Segoe UI" w:hAnsi="Segoe UI" w:cs="Segoe UI"/>
          <w:sz w:val="21"/>
          <w:szCs w:val="21"/>
          <w:lang w:val="en"/>
        </w:rPr>
        <w:t xml:space="preserve"> </w:t>
      </w:r>
      <w:r w:rsidR="00EC5AEB">
        <w:rPr>
          <w:rStyle w:val="ts-alignment-element"/>
          <w:rFonts w:ascii="Segoe UI" w:hAnsi="Segoe UI" w:cs="Segoe UI"/>
          <w:sz w:val="21"/>
          <w:szCs w:val="21"/>
          <w:lang w:val="en"/>
        </w:rPr>
        <w:t>ASSESSMENT</w:t>
      </w:r>
      <w:r w:rsidR="00EC5AEB">
        <w:rPr>
          <w:rFonts w:ascii="Segoe UI" w:hAnsi="Segoe UI" w:cs="Segoe UI"/>
          <w:sz w:val="21"/>
          <w:szCs w:val="21"/>
          <w:lang w:val="en"/>
        </w:rPr>
        <w:t xml:space="preserve"> OF </w:t>
      </w:r>
      <w:r w:rsidR="00EC5AEB">
        <w:rPr>
          <w:rStyle w:val="ts-alignment-element"/>
          <w:rFonts w:ascii="Segoe UI" w:hAnsi="Segoe UI" w:cs="Segoe UI"/>
          <w:sz w:val="21"/>
          <w:szCs w:val="21"/>
          <w:lang w:val="en"/>
        </w:rPr>
        <w:t>PART</w:t>
      </w:r>
      <w:r w:rsidR="00EC5AEB">
        <w:rPr>
          <w:rFonts w:ascii="Segoe UI" w:hAnsi="Segoe UI" w:cs="Segoe UI"/>
          <w:sz w:val="21"/>
          <w:szCs w:val="21"/>
          <w:lang w:val="en"/>
        </w:rPr>
        <w:t xml:space="preserve"> </w:t>
      </w:r>
      <w:r w:rsidR="00EC5AEB">
        <w:rPr>
          <w:rStyle w:val="ts-alignment-element"/>
          <w:rFonts w:ascii="Segoe UI" w:hAnsi="Segoe UI" w:cs="Segoe UI"/>
          <w:sz w:val="21"/>
          <w:szCs w:val="21"/>
          <w:lang w:val="en"/>
        </w:rPr>
        <w:t>II</w:t>
      </w:r>
      <w:r w:rsidR="00EC5AEB">
        <w:rPr>
          <w:rFonts w:ascii="Segoe UI" w:hAnsi="Segoe UI" w:cs="Segoe UI"/>
          <w:sz w:val="21"/>
          <w:szCs w:val="21"/>
          <w:lang w:val="en"/>
        </w:rPr>
        <w:t xml:space="preserve"> </w:t>
      </w:r>
      <w:r w:rsidR="00EC5AEB">
        <w:rPr>
          <w:rStyle w:val="ts-alignment-element"/>
          <w:rFonts w:ascii="Segoe UI" w:hAnsi="Segoe UI" w:cs="Segoe UI"/>
          <w:sz w:val="21"/>
          <w:szCs w:val="21"/>
          <w:lang w:val="en"/>
        </w:rPr>
        <w:t>OF</w:t>
      </w:r>
      <w:r w:rsidR="00EC5AEB">
        <w:rPr>
          <w:rFonts w:ascii="Segoe UI" w:hAnsi="Segoe UI" w:cs="Segoe UI"/>
          <w:sz w:val="21"/>
          <w:szCs w:val="21"/>
          <w:lang w:val="en"/>
        </w:rPr>
        <w:t xml:space="preserve"> </w:t>
      </w:r>
      <w:r w:rsidR="00EC5AEB">
        <w:rPr>
          <w:rStyle w:val="ts-alignment-element"/>
          <w:rFonts w:ascii="Segoe UI" w:hAnsi="Segoe UI" w:cs="Segoe UI"/>
          <w:sz w:val="21"/>
          <w:szCs w:val="21"/>
          <w:lang w:val="en"/>
        </w:rPr>
        <w:t>THE DOCUMENTATION</w:t>
      </w:r>
      <w:r>
        <w:t>:</w:t>
      </w:r>
    </w:p>
    <w:tbl>
      <w:tblPr>
        <w:tblStyle w:val="Mkatabulky"/>
        <w:tblW w:w="14399" w:type="dxa"/>
        <w:tblLook w:val="04A0" w:firstRow="1" w:lastRow="0" w:firstColumn="1" w:lastColumn="0" w:noHBand="0" w:noVBand="1"/>
      </w:tblPr>
      <w:tblGrid>
        <w:gridCol w:w="1129"/>
        <w:gridCol w:w="4629"/>
        <w:gridCol w:w="2742"/>
        <w:gridCol w:w="2552"/>
        <w:gridCol w:w="3347"/>
      </w:tblGrid>
      <w:tr w:rsidR="00534DF1" w14:paraId="77144766" w14:textId="77777777" w:rsidTr="00534DF1">
        <w:trPr>
          <w:trHeight w:val="647"/>
        </w:trPr>
        <w:tc>
          <w:tcPr>
            <w:tcW w:w="1129" w:type="dxa"/>
          </w:tcPr>
          <w:p w14:paraId="33A4EBAA" w14:textId="759FFE45" w:rsidR="00534DF1" w:rsidRDefault="00534DF1" w:rsidP="00534DF1">
            <w:pPr>
              <w:spacing w:before="120"/>
            </w:pPr>
            <w:r>
              <w:t>Kód SÚKL</w:t>
            </w:r>
          </w:p>
        </w:tc>
        <w:tc>
          <w:tcPr>
            <w:tcW w:w="4629" w:type="dxa"/>
          </w:tcPr>
          <w:p w14:paraId="58F1B9DD" w14:textId="77777777" w:rsidR="00534DF1" w:rsidRDefault="00534DF1"/>
        </w:tc>
        <w:tc>
          <w:tcPr>
            <w:tcW w:w="2742" w:type="dxa"/>
          </w:tcPr>
          <w:p w14:paraId="4C743CB5" w14:textId="77777777" w:rsidR="00534DF1" w:rsidRDefault="00534DF1"/>
        </w:tc>
        <w:tc>
          <w:tcPr>
            <w:tcW w:w="2552" w:type="dxa"/>
          </w:tcPr>
          <w:p w14:paraId="209D165F" w14:textId="77777777" w:rsidR="00534DF1" w:rsidRDefault="00534DF1" w:rsidP="00534DF1">
            <w:pPr>
              <w:jc w:val="center"/>
            </w:pPr>
          </w:p>
          <w:p w14:paraId="2249DB66" w14:textId="7F9F9804" w:rsidR="00534DF1" w:rsidRDefault="00534DF1" w:rsidP="00534DF1">
            <w:pPr>
              <w:jc w:val="center"/>
            </w:pPr>
            <w:r w:rsidRPr="0037754E">
              <w:rPr>
                <w:b/>
                <w:bCs/>
              </w:rPr>
              <w:t xml:space="preserve">Poplatky </w:t>
            </w:r>
            <w:r w:rsidR="0037754E">
              <w:rPr>
                <w:b/>
                <w:bCs/>
              </w:rPr>
              <w:t xml:space="preserve">etické komisi </w:t>
            </w:r>
            <w:r w:rsidRPr="0037754E">
              <w:rPr>
                <w:b/>
                <w:bCs/>
              </w:rPr>
              <w:t>SÚKL</w:t>
            </w:r>
            <w:r>
              <w:t xml:space="preserve"> (bez DPH)</w:t>
            </w:r>
          </w:p>
        </w:tc>
        <w:tc>
          <w:tcPr>
            <w:tcW w:w="3347" w:type="dxa"/>
          </w:tcPr>
          <w:p w14:paraId="67E0C44C" w14:textId="77777777" w:rsidR="00534DF1" w:rsidRDefault="00534DF1" w:rsidP="00534DF1">
            <w:pPr>
              <w:jc w:val="center"/>
            </w:pPr>
          </w:p>
          <w:p w14:paraId="0672A443" w14:textId="7BD9EF4C" w:rsidR="00534DF1" w:rsidRDefault="00534DF1" w:rsidP="00534DF1">
            <w:pPr>
              <w:jc w:val="center"/>
            </w:pPr>
            <w:r w:rsidRPr="0037754E">
              <w:rPr>
                <w:b/>
                <w:bCs/>
              </w:rPr>
              <w:t>Poplatky etickým komisím pro multicentrická KH</w:t>
            </w:r>
            <w:r>
              <w:t xml:space="preserve"> (včetně DPH)</w:t>
            </w:r>
          </w:p>
        </w:tc>
      </w:tr>
      <w:tr w:rsidR="00534DF1" w14:paraId="0F3D376E" w14:textId="77777777" w:rsidTr="00534DF1">
        <w:trPr>
          <w:trHeight w:val="647"/>
        </w:trPr>
        <w:tc>
          <w:tcPr>
            <w:tcW w:w="1129" w:type="dxa"/>
          </w:tcPr>
          <w:p w14:paraId="60040293" w14:textId="2A83A1CB" w:rsidR="00534DF1" w:rsidRDefault="00534DF1" w:rsidP="00534DF1">
            <w:pPr>
              <w:spacing w:before="120"/>
            </w:pPr>
            <w:r>
              <w:t>K-023</w:t>
            </w:r>
          </w:p>
        </w:tc>
        <w:tc>
          <w:tcPr>
            <w:tcW w:w="4629" w:type="dxa"/>
          </w:tcPr>
          <w:p w14:paraId="14E3983F" w14:textId="654AB4C8" w:rsidR="00534DF1" w:rsidRDefault="00534DF1">
            <w:r>
              <w:t>Žádost o povolení klinického hodnocení – dokumentace k části II hodnotící zprávy podle čl. 4, 5, 7, 8, 9, 86 a 87 nařízení 536/2014</w:t>
            </w:r>
            <w:r w:rsidR="004A54AF">
              <w:t xml:space="preserve"> / </w:t>
            </w:r>
            <w:r w:rsidR="004A54AF" w:rsidRPr="009F0B36">
              <w:rPr>
                <w:i/>
                <w:iCs/>
                <w:lang w:val="en-GB"/>
              </w:rPr>
              <w:t>Application for clinical trial authorisation – documentation for assessment report part II as referred to by Art. 4, 5, 7, 8, 9, 86, and 87 of the Clinical Trial Regulation</w:t>
            </w:r>
          </w:p>
        </w:tc>
        <w:tc>
          <w:tcPr>
            <w:tcW w:w="2742" w:type="dxa"/>
          </w:tcPr>
          <w:p w14:paraId="66A85EE6" w14:textId="77777777" w:rsidR="00534DF1" w:rsidRDefault="00534DF1"/>
          <w:p w14:paraId="4408F7B8" w14:textId="77777777" w:rsidR="00534DF1" w:rsidRDefault="00534DF1">
            <w:r>
              <w:t>s 1 místem KH v</w:t>
            </w:r>
            <w:r w:rsidR="004A54AF">
              <w:t> </w:t>
            </w:r>
            <w:r>
              <w:t>ČR</w:t>
            </w:r>
            <w:r w:rsidR="004A54AF">
              <w:t xml:space="preserve"> /</w:t>
            </w:r>
          </w:p>
          <w:p w14:paraId="7A54705D" w14:textId="24797967" w:rsidR="004A54AF" w:rsidRPr="009F0B36" w:rsidRDefault="004A54AF">
            <w:pPr>
              <w:rPr>
                <w:i/>
                <w:iCs/>
                <w:lang w:val="en-GB"/>
              </w:rPr>
            </w:pPr>
            <w:r w:rsidRPr="009F0B36">
              <w:rPr>
                <w:i/>
                <w:iCs/>
                <w:lang w:val="en-GB"/>
              </w:rPr>
              <w:t>With 1 trial site in the Czech Republic</w:t>
            </w:r>
          </w:p>
        </w:tc>
        <w:tc>
          <w:tcPr>
            <w:tcW w:w="2552" w:type="dxa"/>
          </w:tcPr>
          <w:p w14:paraId="7EF5F1A7" w14:textId="77777777" w:rsidR="00534DF1" w:rsidRPr="007E0F3C" w:rsidRDefault="00534DF1" w:rsidP="00534DF1">
            <w:pPr>
              <w:jc w:val="center"/>
              <w:rPr>
                <w:b/>
                <w:bCs/>
              </w:rPr>
            </w:pPr>
          </w:p>
          <w:p w14:paraId="1467AAEE" w14:textId="731290FB" w:rsidR="00166CB9" w:rsidRPr="007E0F3C" w:rsidRDefault="00166CB9" w:rsidP="00534DF1">
            <w:pPr>
              <w:jc w:val="center"/>
              <w:rPr>
                <w:b/>
                <w:bCs/>
              </w:rPr>
            </w:pPr>
            <w:r w:rsidRPr="007E0F3C">
              <w:rPr>
                <w:b/>
                <w:bCs/>
              </w:rPr>
              <w:t>48 270 Kč</w:t>
            </w:r>
          </w:p>
        </w:tc>
        <w:tc>
          <w:tcPr>
            <w:tcW w:w="3347" w:type="dxa"/>
          </w:tcPr>
          <w:p w14:paraId="3A526E39" w14:textId="77777777" w:rsidR="00534DF1" w:rsidRPr="007E0F3C" w:rsidRDefault="00534DF1" w:rsidP="00534DF1">
            <w:pPr>
              <w:jc w:val="center"/>
              <w:rPr>
                <w:b/>
                <w:bCs/>
              </w:rPr>
            </w:pPr>
          </w:p>
          <w:p w14:paraId="68152BC6" w14:textId="193A324C" w:rsidR="00166CB9" w:rsidRPr="007E0F3C" w:rsidRDefault="00166CB9" w:rsidP="00534DF1">
            <w:pPr>
              <w:jc w:val="center"/>
              <w:rPr>
                <w:b/>
                <w:bCs/>
              </w:rPr>
            </w:pPr>
            <w:r w:rsidRPr="007E0F3C">
              <w:rPr>
                <w:b/>
                <w:bCs/>
              </w:rPr>
              <w:t>58 407 Kč</w:t>
            </w:r>
          </w:p>
        </w:tc>
      </w:tr>
      <w:tr w:rsidR="00534DF1" w14:paraId="1279FFD6" w14:textId="77777777" w:rsidTr="00534DF1">
        <w:trPr>
          <w:trHeight w:val="647"/>
        </w:trPr>
        <w:tc>
          <w:tcPr>
            <w:tcW w:w="1129" w:type="dxa"/>
          </w:tcPr>
          <w:p w14:paraId="3A842B09" w14:textId="2C3DD692" w:rsidR="00534DF1" w:rsidRDefault="00534DF1" w:rsidP="00534DF1">
            <w:pPr>
              <w:spacing w:before="120"/>
            </w:pPr>
            <w:r>
              <w:t>K-024</w:t>
            </w:r>
          </w:p>
        </w:tc>
        <w:tc>
          <w:tcPr>
            <w:tcW w:w="4629" w:type="dxa"/>
          </w:tcPr>
          <w:p w14:paraId="7B73DB52" w14:textId="63A8DCA9" w:rsidR="00534DF1" w:rsidRDefault="00534DF1">
            <w:r>
              <w:t>Žádost o povolení klinického hodnocení – dokumentace k části II hodnotící zprávy podle čl. 4, 5, 7, 8, 9, 86 a 87 nařízení 536/2014</w:t>
            </w:r>
            <w:r w:rsidR="004A54AF">
              <w:t xml:space="preserve"> / </w:t>
            </w:r>
            <w:r w:rsidR="004A54AF" w:rsidRPr="009F0B36">
              <w:rPr>
                <w:i/>
                <w:iCs/>
                <w:lang w:val="en-GB"/>
              </w:rPr>
              <w:t>Application for clinical trial authorisation – documentation for assessment report part II as referred to by Art. 4, 5, 7, 8, 9, 86, and 87 of the Clinical Trial Regulation</w:t>
            </w:r>
          </w:p>
        </w:tc>
        <w:tc>
          <w:tcPr>
            <w:tcW w:w="2742" w:type="dxa"/>
          </w:tcPr>
          <w:p w14:paraId="55A018FF" w14:textId="77777777" w:rsidR="00534DF1" w:rsidRDefault="00534DF1"/>
          <w:p w14:paraId="4EC1258B" w14:textId="77777777" w:rsidR="0037754E" w:rsidRDefault="0037754E">
            <w:r>
              <w:t>s 2 místy KH v</w:t>
            </w:r>
            <w:r w:rsidR="004A54AF">
              <w:t> </w:t>
            </w:r>
            <w:r>
              <w:t>ČR</w:t>
            </w:r>
            <w:r w:rsidR="004A54AF">
              <w:t xml:space="preserve"> /</w:t>
            </w:r>
          </w:p>
          <w:p w14:paraId="26B1DDF0" w14:textId="1959D21E" w:rsidR="004A54AF" w:rsidRPr="009F0B36" w:rsidRDefault="004A54AF">
            <w:pPr>
              <w:rPr>
                <w:i/>
                <w:iCs/>
                <w:lang w:val="en-GB"/>
              </w:rPr>
            </w:pPr>
            <w:r w:rsidRPr="009F0B36">
              <w:rPr>
                <w:i/>
                <w:iCs/>
                <w:lang w:val="en-GB"/>
              </w:rPr>
              <w:t>With 2 trial sites in the Czech Republic</w:t>
            </w:r>
          </w:p>
        </w:tc>
        <w:tc>
          <w:tcPr>
            <w:tcW w:w="2552" w:type="dxa"/>
          </w:tcPr>
          <w:p w14:paraId="7D0B9C3B" w14:textId="77777777" w:rsidR="00534DF1" w:rsidRPr="007E0F3C" w:rsidRDefault="00534DF1" w:rsidP="00534DF1">
            <w:pPr>
              <w:jc w:val="center"/>
              <w:rPr>
                <w:b/>
                <w:bCs/>
              </w:rPr>
            </w:pPr>
          </w:p>
          <w:p w14:paraId="109C117D" w14:textId="7F915752" w:rsidR="00166CB9" w:rsidRPr="007E0F3C" w:rsidRDefault="00166CB9" w:rsidP="00534DF1">
            <w:pPr>
              <w:jc w:val="center"/>
              <w:rPr>
                <w:b/>
                <w:bCs/>
              </w:rPr>
            </w:pPr>
            <w:r w:rsidRPr="007E0F3C">
              <w:rPr>
                <w:b/>
                <w:bCs/>
              </w:rPr>
              <w:t>56 150 Kč</w:t>
            </w:r>
          </w:p>
        </w:tc>
        <w:tc>
          <w:tcPr>
            <w:tcW w:w="3347" w:type="dxa"/>
          </w:tcPr>
          <w:p w14:paraId="1152530C" w14:textId="77777777" w:rsidR="00534DF1" w:rsidRPr="007E0F3C" w:rsidRDefault="00534DF1" w:rsidP="00534DF1">
            <w:pPr>
              <w:jc w:val="center"/>
              <w:rPr>
                <w:b/>
                <w:bCs/>
              </w:rPr>
            </w:pPr>
          </w:p>
          <w:p w14:paraId="4E579EF5" w14:textId="07B88A52" w:rsidR="00166CB9" w:rsidRPr="007E0F3C" w:rsidRDefault="00166CB9" w:rsidP="00534DF1">
            <w:pPr>
              <w:jc w:val="center"/>
              <w:rPr>
                <w:b/>
                <w:bCs/>
              </w:rPr>
            </w:pPr>
            <w:r w:rsidRPr="007E0F3C">
              <w:rPr>
                <w:b/>
                <w:bCs/>
              </w:rPr>
              <w:t>67</w:t>
            </w:r>
            <w:r w:rsidR="007E0F3C" w:rsidRPr="007E0F3C">
              <w:rPr>
                <w:b/>
                <w:bCs/>
              </w:rPr>
              <w:t xml:space="preserve"> </w:t>
            </w:r>
            <w:r w:rsidRPr="007E0F3C">
              <w:rPr>
                <w:b/>
                <w:bCs/>
              </w:rPr>
              <w:t>942 Kč</w:t>
            </w:r>
          </w:p>
        </w:tc>
      </w:tr>
      <w:tr w:rsidR="00534DF1" w14:paraId="13D06FF8" w14:textId="77777777" w:rsidTr="00534DF1">
        <w:trPr>
          <w:trHeight w:val="623"/>
        </w:trPr>
        <w:tc>
          <w:tcPr>
            <w:tcW w:w="1129" w:type="dxa"/>
          </w:tcPr>
          <w:p w14:paraId="6D587E9E" w14:textId="7A6754DA" w:rsidR="00534DF1" w:rsidRDefault="00534DF1" w:rsidP="00534DF1">
            <w:pPr>
              <w:spacing w:before="120"/>
            </w:pPr>
            <w:r>
              <w:t>K-025</w:t>
            </w:r>
          </w:p>
        </w:tc>
        <w:tc>
          <w:tcPr>
            <w:tcW w:w="4629" w:type="dxa"/>
          </w:tcPr>
          <w:p w14:paraId="76FE7758" w14:textId="05C8298E" w:rsidR="00534DF1" w:rsidRDefault="00534DF1">
            <w:r>
              <w:t>Žádost o povolení klinického hodnocení – dokumentace k části II hodnotící zprávy podle čl. 4, 5, 7, 8, 9, 86 a 87 nařízení 536/2014</w:t>
            </w:r>
            <w:r w:rsidR="004A54AF">
              <w:t xml:space="preserve"> / </w:t>
            </w:r>
            <w:r w:rsidR="004A54AF" w:rsidRPr="009F0B36">
              <w:rPr>
                <w:i/>
                <w:iCs/>
                <w:lang w:val="en-GB"/>
              </w:rPr>
              <w:t>Application for clinical trial authorisation – documentation for assessment report part II as referred to by Art. 4, 5, 7, 8, 9, 86, and 87 of the Clinical Trial Regulation</w:t>
            </w:r>
          </w:p>
        </w:tc>
        <w:tc>
          <w:tcPr>
            <w:tcW w:w="2742" w:type="dxa"/>
          </w:tcPr>
          <w:p w14:paraId="045ED58F" w14:textId="77777777" w:rsidR="004A54AF" w:rsidRDefault="0037754E">
            <w:r>
              <w:t>Každé další centrum v ČR pro iniciální podání žádosti o KH</w:t>
            </w:r>
            <w:r w:rsidR="004A54AF">
              <w:t xml:space="preserve"> / </w:t>
            </w:r>
          </w:p>
          <w:p w14:paraId="1B35663A" w14:textId="5C17492B" w:rsidR="00534DF1" w:rsidRPr="009F0B36" w:rsidRDefault="004A54AF">
            <w:pPr>
              <w:rPr>
                <w:lang w:val="en-GB"/>
              </w:rPr>
            </w:pPr>
            <w:r w:rsidRPr="009F0B36">
              <w:rPr>
                <w:i/>
                <w:iCs/>
                <w:lang w:val="en-GB"/>
              </w:rPr>
              <w:t>Any additional trial site in the Czech Republic for initial submission of a clinical trial application.</w:t>
            </w:r>
          </w:p>
        </w:tc>
        <w:tc>
          <w:tcPr>
            <w:tcW w:w="2552" w:type="dxa"/>
          </w:tcPr>
          <w:p w14:paraId="3C31F039" w14:textId="77777777" w:rsidR="00534DF1" w:rsidRPr="007E0F3C" w:rsidRDefault="00534DF1" w:rsidP="00534DF1">
            <w:pPr>
              <w:jc w:val="center"/>
              <w:rPr>
                <w:b/>
                <w:bCs/>
              </w:rPr>
            </w:pPr>
          </w:p>
          <w:p w14:paraId="6A9F9144" w14:textId="2FD5C134" w:rsidR="00166CB9" w:rsidRPr="007E0F3C" w:rsidRDefault="00166CB9" w:rsidP="00534DF1">
            <w:pPr>
              <w:jc w:val="center"/>
              <w:rPr>
                <w:b/>
                <w:bCs/>
              </w:rPr>
            </w:pPr>
            <w:r w:rsidRPr="007E0F3C">
              <w:rPr>
                <w:b/>
                <w:bCs/>
              </w:rPr>
              <w:t>5 910 Kč</w:t>
            </w:r>
          </w:p>
        </w:tc>
        <w:tc>
          <w:tcPr>
            <w:tcW w:w="3347" w:type="dxa"/>
          </w:tcPr>
          <w:p w14:paraId="6B50E641" w14:textId="77777777" w:rsidR="00534DF1" w:rsidRPr="007E0F3C" w:rsidRDefault="00534DF1" w:rsidP="00534DF1">
            <w:pPr>
              <w:jc w:val="center"/>
              <w:rPr>
                <w:b/>
                <w:bCs/>
              </w:rPr>
            </w:pPr>
          </w:p>
          <w:p w14:paraId="0694C183" w14:textId="7AD25086" w:rsidR="00166CB9" w:rsidRPr="007E0F3C" w:rsidRDefault="00166CB9" w:rsidP="00534DF1">
            <w:pPr>
              <w:jc w:val="center"/>
              <w:rPr>
                <w:b/>
                <w:bCs/>
              </w:rPr>
            </w:pPr>
            <w:r w:rsidRPr="007E0F3C">
              <w:rPr>
                <w:b/>
                <w:bCs/>
              </w:rPr>
              <w:t>7 151 Kč</w:t>
            </w:r>
          </w:p>
        </w:tc>
      </w:tr>
      <w:tr w:rsidR="00534DF1" w14:paraId="506BF795" w14:textId="77777777" w:rsidTr="00534DF1">
        <w:trPr>
          <w:trHeight w:val="647"/>
        </w:trPr>
        <w:tc>
          <w:tcPr>
            <w:tcW w:w="1129" w:type="dxa"/>
          </w:tcPr>
          <w:p w14:paraId="3E644B78" w14:textId="036DFC65" w:rsidR="00534DF1" w:rsidRDefault="00534DF1" w:rsidP="00534DF1">
            <w:pPr>
              <w:spacing w:before="120"/>
            </w:pPr>
            <w:r>
              <w:t>K-026</w:t>
            </w:r>
          </w:p>
        </w:tc>
        <w:tc>
          <w:tcPr>
            <w:tcW w:w="4629" w:type="dxa"/>
          </w:tcPr>
          <w:p w14:paraId="28B01449" w14:textId="0A650480" w:rsidR="00534DF1" w:rsidRDefault="00534DF1">
            <w:r>
              <w:t>Žádost o povolení klinického hodnocení – dokumentace k části II hodnotící zprávy podle čl. 4, 5, 7, 8, 9, 86 a 87 nařízení 536/2014</w:t>
            </w:r>
            <w:r w:rsidR="004A54AF">
              <w:t xml:space="preserve"> / </w:t>
            </w:r>
            <w:r w:rsidR="004A54AF" w:rsidRPr="009F0B36">
              <w:rPr>
                <w:i/>
                <w:iCs/>
                <w:lang w:val="en-GB"/>
              </w:rPr>
              <w:t>Application for clinical trial authorisation – documentation for assessment report part II as referred to by Art. 4, 5, 7, 8, 9, 86, and 87 of the Clinical Trial Regulation</w:t>
            </w:r>
          </w:p>
        </w:tc>
        <w:tc>
          <w:tcPr>
            <w:tcW w:w="2742" w:type="dxa"/>
          </w:tcPr>
          <w:p w14:paraId="06D84B2E" w14:textId="77777777" w:rsidR="00534DF1" w:rsidRDefault="0037754E" w:rsidP="0037754E">
            <w:pPr>
              <w:spacing w:before="120"/>
            </w:pPr>
            <w:r>
              <w:t>Každé další centrum v ČR pro již běžící KH</w:t>
            </w:r>
            <w:r w:rsidR="004A54AF">
              <w:t xml:space="preserve"> /</w:t>
            </w:r>
          </w:p>
          <w:p w14:paraId="0606F842" w14:textId="6AC1C383" w:rsidR="004A54AF" w:rsidRPr="009F0B36" w:rsidRDefault="004A54AF" w:rsidP="0037754E">
            <w:pPr>
              <w:spacing w:before="120"/>
              <w:rPr>
                <w:i/>
                <w:iCs/>
                <w:lang w:val="en-GB"/>
              </w:rPr>
            </w:pPr>
            <w:r w:rsidRPr="009F0B36">
              <w:rPr>
                <w:i/>
                <w:iCs/>
                <w:lang w:val="en-GB"/>
              </w:rPr>
              <w:t>Any additional trial site in the Czech Republic for an ongoing clinical trial.</w:t>
            </w:r>
          </w:p>
        </w:tc>
        <w:tc>
          <w:tcPr>
            <w:tcW w:w="2552" w:type="dxa"/>
          </w:tcPr>
          <w:p w14:paraId="4C728C93" w14:textId="77777777" w:rsidR="00534DF1" w:rsidRPr="007E0F3C" w:rsidRDefault="00534DF1" w:rsidP="00534DF1">
            <w:pPr>
              <w:jc w:val="center"/>
              <w:rPr>
                <w:b/>
                <w:bCs/>
              </w:rPr>
            </w:pPr>
          </w:p>
          <w:p w14:paraId="546EB73E" w14:textId="2B5F3D7D" w:rsidR="00166CB9" w:rsidRPr="007E0F3C" w:rsidRDefault="00166CB9" w:rsidP="00534DF1">
            <w:pPr>
              <w:jc w:val="center"/>
              <w:rPr>
                <w:b/>
                <w:bCs/>
              </w:rPr>
            </w:pPr>
            <w:r w:rsidRPr="007E0F3C">
              <w:rPr>
                <w:b/>
                <w:bCs/>
              </w:rPr>
              <w:t>11 825 Kč</w:t>
            </w:r>
          </w:p>
        </w:tc>
        <w:tc>
          <w:tcPr>
            <w:tcW w:w="3347" w:type="dxa"/>
          </w:tcPr>
          <w:p w14:paraId="2547B56B" w14:textId="77777777" w:rsidR="00534DF1" w:rsidRPr="007E0F3C" w:rsidRDefault="00534DF1" w:rsidP="00534DF1">
            <w:pPr>
              <w:jc w:val="center"/>
              <w:rPr>
                <w:b/>
                <w:bCs/>
              </w:rPr>
            </w:pPr>
          </w:p>
          <w:p w14:paraId="3678B95D" w14:textId="39B982D8" w:rsidR="00166CB9" w:rsidRPr="007E0F3C" w:rsidRDefault="00166CB9" w:rsidP="00534DF1">
            <w:pPr>
              <w:jc w:val="center"/>
              <w:rPr>
                <w:b/>
                <w:bCs/>
              </w:rPr>
            </w:pPr>
            <w:r w:rsidRPr="007E0F3C">
              <w:rPr>
                <w:b/>
                <w:bCs/>
              </w:rPr>
              <w:t>14 308 Kč</w:t>
            </w:r>
          </w:p>
        </w:tc>
      </w:tr>
      <w:tr w:rsidR="00534DF1" w14:paraId="5CC5374C" w14:textId="77777777" w:rsidTr="00534DF1">
        <w:trPr>
          <w:trHeight w:val="647"/>
        </w:trPr>
        <w:tc>
          <w:tcPr>
            <w:tcW w:w="1129" w:type="dxa"/>
          </w:tcPr>
          <w:p w14:paraId="5905DDF4" w14:textId="7019F5B6" w:rsidR="00534DF1" w:rsidRDefault="00534DF1" w:rsidP="00534DF1">
            <w:pPr>
              <w:spacing w:before="120"/>
            </w:pPr>
            <w:r>
              <w:lastRenderedPageBreak/>
              <w:t>K-027</w:t>
            </w:r>
          </w:p>
        </w:tc>
        <w:tc>
          <w:tcPr>
            <w:tcW w:w="4629" w:type="dxa"/>
          </w:tcPr>
          <w:p w14:paraId="6B975FE2" w14:textId="77777777" w:rsidR="00534DF1" w:rsidRDefault="00534DF1">
            <w:r>
              <w:t>Významná změna vztahující se na část II hodnotící zprávy – aktualizace informací pro pacienta, informovaného souhlasu podle čl. 16, 20, 21, 22, 23, 86 a 87 nařízení 536/2014</w:t>
            </w:r>
            <w:r w:rsidR="004A54AF">
              <w:t xml:space="preserve"> / </w:t>
            </w:r>
          </w:p>
          <w:p w14:paraId="5120B6C7" w14:textId="384104D9" w:rsidR="004A54AF" w:rsidRPr="009F0B36" w:rsidRDefault="004A54AF">
            <w:pPr>
              <w:rPr>
                <w:i/>
                <w:iCs/>
                <w:lang w:val="en-GB"/>
              </w:rPr>
            </w:pPr>
            <w:r w:rsidRPr="009F0B36">
              <w:rPr>
                <w:i/>
                <w:iCs/>
                <w:lang w:val="en-GB"/>
              </w:rPr>
              <w:t>Substantial modification associated with assessment report part II – an update to the Patient Information Sheet, Informed Consent Form as referred to under Art. 16, 20, 21, 22, 23, 86, and 87 of the Clinical Trial Regulation</w:t>
            </w:r>
          </w:p>
        </w:tc>
        <w:tc>
          <w:tcPr>
            <w:tcW w:w="2742" w:type="dxa"/>
          </w:tcPr>
          <w:p w14:paraId="6F10C1AA" w14:textId="77777777" w:rsidR="00534DF1" w:rsidRDefault="00534DF1"/>
        </w:tc>
        <w:tc>
          <w:tcPr>
            <w:tcW w:w="2552" w:type="dxa"/>
          </w:tcPr>
          <w:p w14:paraId="75DBFC3E" w14:textId="77777777" w:rsidR="00534DF1" w:rsidRPr="007E0F3C" w:rsidRDefault="00534DF1" w:rsidP="00534DF1">
            <w:pPr>
              <w:jc w:val="center"/>
              <w:rPr>
                <w:b/>
                <w:bCs/>
              </w:rPr>
            </w:pPr>
          </w:p>
          <w:p w14:paraId="70E27AA2" w14:textId="25E17FA4" w:rsidR="00166CB9" w:rsidRPr="007E0F3C" w:rsidRDefault="00166CB9" w:rsidP="00534DF1">
            <w:pPr>
              <w:jc w:val="center"/>
              <w:rPr>
                <w:b/>
                <w:bCs/>
              </w:rPr>
            </w:pPr>
            <w:r w:rsidRPr="007E0F3C">
              <w:rPr>
                <w:b/>
                <w:bCs/>
              </w:rPr>
              <w:t>12 810 Kč</w:t>
            </w:r>
          </w:p>
        </w:tc>
        <w:tc>
          <w:tcPr>
            <w:tcW w:w="3347" w:type="dxa"/>
          </w:tcPr>
          <w:p w14:paraId="793FF273" w14:textId="77777777" w:rsidR="00534DF1" w:rsidRPr="007E0F3C" w:rsidRDefault="00534DF1" w:rsidP="00534DF1">
            <w:pPr>
              <w:jc w:val="center"/>
              <w:rPr>
                <w:b/>
                <w:bCs/>
              </w:rPr>
            </w:pPr>
          </w:p>
          <w:p w14:paraId="3B879E00" w14:textId="0CAC682B" w:rsidR="00166CB9" w:rsidRPr="007E0F3C" w:rsidRDefault="00166CB9" w:rsidP="00534DF1">
            <w:pPr>
              <w:jc w:val="center"/>
              <w:rPr>
                <w:b/>
                <w:bCs/>
              </w:rPr>
            </w:pPr>
            <w:r w:rsidRPr="007E0F3C">
              <w:rPr>
                <w:b/>
                <w:bCs/>
              </w:rPr>
              <w:t>15 500 Kč</w:t>
            </w:r>
          </w:p>
        </w:tc>
      </w:tr>
      <w:tr w:rsidR="00534DF1" w14:paraId="2E6D4281" w14:textId="77777777" w:rsidTr="00534DF1">
        <w:trPr>
          <w:trHeight w:val="647"/>
        </w:trPr>
        <w:tc>
          <w:tcPr>
            <w:tcW w:w="1129" w:type="dxa"/>
          </w:tcPr>
          <w:p w14:paraId="14E73B86" w14:textId="2A3734A5" w:rsidR="00534DF1" w:rsidRDefault="00534DF1" w:rsidP="00534DF1">
            <w:pPr>
              <w:spacing w:before="120"/>
            </w:pPr>
            <w:r>
              <w:t>K-028</w:t>
            </w:r>
          </w:p>
        </w:tc>
        <w:tc>
          <w:tcPr>
            <w:tcW w:w="4629" w:type="dxa"/>
          </w:tcPr>
          <w:p w14:paraId="05E34027" w14:textId="7705ADAD" w:rsidR="00534DF1" w:rsidRDefault="00534DF1">
            <w:r>
              <w:t xml:space="preserve">Významná změna vztahující se na část II hodnotící zprávy – změna zkoušejícího nebo </w:t>
            </w:r>
            <w:r w:rsidR="0037754E">
              <w:t>hlavního zkoušejícího, nebo jiná významná změna vztahující se k části II hodnotící zprávy</w:t>
            </w:r>
            <w:r>
              <w:t xml:space="preserve"> podle čl. 16, 20, 21, 22, 23, 86 a 87 nařízení 536/2014</w:t>
            </w:r>
            <w:r w:rsidR="004A54AF">
              <w:t xml:space="preserve"> </w:t>
            </w:r>
            <w:r w:rsidR="004A54AF" w:rsidRPr="009F0B36">
              <w:rPr>
                <w:i/>
                <w:iCs/>
                <w:lang w:val="en-GB"/>
              </w:rPr>
              <w:t>/ Substantial modification associated with assessment report part II – change to the investigator or principal investigator or another substantial modification associated with assessment report part II as referred to under Art. 16, 20, 21, 22, 23, 86, and 87 of the Clinical Trial Regulation</w:t>
            </w:r>
          </w:p>
        </w:tc>
        <w:tc>
          <w:tcPr>
            <w:tcW w:w="2742" w:type="dxa"/>
          </w:tcPr>
          <w:p w14:paraId="7A20BBAE" w14:textId="77777777" w:rsidR="00534DF1" w:rsidRDefault="00534DF1"/>
        </w:tc>
        <w:tc>
          <w:tcPr>
            <w:tcW w:w="2552" w:type="dxa"/>
          </w:tcPr>
          <w:p w14:paraId="215BA8AD" w14:textId="77777777" w:rsidR="00534DF1" w:rsidRPr="007E0F3C" w:rsidRDefault="00534DF1" w:rsidP="00534DF1">
            <w:pPr>
              <w:jc w:val="center"/>
              <w:rPr>
                <w:b/>
                <w:bCs/>
              </w:rPr>
            </w:pPr>
          </w:p>
          <w:p w14:paraId="68E5DE0E" w14:textId="77777777" w:rsidR="0037754E" w:rsidRPr="007E0F3C" w:rsidRDefault="0037754E" w:rsidP="00534DF1">
            <w:pPr>
              <w:jc w:val="center"/>
              <w:rPr>
                <w:b/>
                <w:bCs/>
              </w:rPr>
            </w:pPr>
          </w:p>
          <w:p w14:paraId="54CD0629" w14:textId="6078C889" w:rsidR="00166CB9" w:rsidRPr="007E0F3C" w:rsidRDefault="00166CB9" w:rsidP="00534DF1">
            <w:pPr>
              <w:jc w:val="center"/>
              <w:rPr>
                <w:b/>
                <w:bCs/>
              </w:rPr>
            </w:pPr>
            <w:r w:rsidRPr="007E0F3C">
              <w:rPr>
                <w:b/>
                <w:bCs/>
              </w:rPr>
              <w:t>7 880 Kč</w:t>
            </w:r>
          </w:p>
        </w:tc>
        <w:tc>
          <w:tcPr>
            <w:tcW w:w="3347" w:type="dxa"/>
          </w:tcPr>
          <w:p w14:paraId="39DCE477" w14:textId="77777777" w:rsidR="00534DF1" w:rsidRPr="007E0F3C" w:rsidRDefault="00534DF1" w:rsidP="00534DF1">
            <w:pPr>
              <w:jc w:val="center"/>
              <w:rPr>
                <w:b/>
                <w:bCs/>
              </w:rPr>
            </w:pPr>
          </w:p>
          <w:p w14:paraId="217C4084" w14:textId="77777777" w:rsidR="0037754E" w:rsidRPr="007E0F3C" w:rsidRDefault="0037754E" w:rsidP="00534DF1">
            <w:pPr>
              <w:jc w:val="center"/>
              <w:rPr>
                <w:b/>
                <w:bCs/>
              </w:rPr>
            </w:pPr>
          </w:p>
          <w:p w14:paraId="587227CA" w14:textId="4FC6C846" w:rsidR="00166CB9" w:rsidRPr="007E0F3C" w:rsidRDefault="00166CB9" w:rsidP="00534DF1">
            <w:pPr>
              <w:jc w:val="center"/>
              <w:rPr>
                <w:b/>
                <w:bCs/>
              </w:rPr>
            </w:pPr>
            <w:r w:rsidRPr="007E0F3C">
              <w:rPr>
                <w:b/>
                <w:bCs/>
              </w:rPr>
              <w:t>9 535 Kč</w:t>
            </w:r>
          </w:p>
        </w:tc>
      </w:tr>
    </w:tbl>
    <w:p w14:paraId="54315C4D" w14:textId="41AF0844" w:rsidR="00534DF1" w:rsidRDefault="00534DF1"/>
    <w:p w14:paraId="1CACC3E8" w14:textId="1441AE5B" w:rsidR="00EC5AEB" w:rsidRPr="006C3987" w:rsidRDefault="00EC5AEB" w:rsidP="00EC5AEB">
      <w:pPr>
        <w:rPr>
          <w:i/>
          <w:iCs/>
        </w:rPr>
      </w:pPr>
      <w:r w:rsidRPr="006C3987">
        <w:t xml:space="preserve">V případě, že posouzení dokumentace části II bude provádět etická komise SÚKL, což Vám bude sděleno ve validací, provedete platbu za posouzení části II dokumentace dle pokynu UST-29 (kódy K-023 až K-028) / </w:t>
      </w:r>
      <w:r w:rsidRPr="006C3987">
        <w:rPr>
          <w:rStyle w:val="ts-alignment-element"/>
          <w:rFonts w:ascii="Segoe UI" w:hAnsi="Segoe UI" w:cs="Segoe UI"/>
          <w:i/>
          <w:iCs/>
          <w:sz w:val="21"/>
          <w:szCs w:val="21"/>
          <w:lang w:val="en"/>
        </w:rPr>
        <w:t>If</w:t>
      </w:r>
      <w:r w:rsidRPr="006C3987">
        <w:rPr>
          <w:rFonts w:ascii="Segoe UI" w:hAnsi="Segoe UI" w:cs="Segoe UI"/>
          <w:i/>
          <w:iCs/>
          <w:sz w:val="21"/>
          <w:szCs w:val="21"/>
          <w:lang w:val="en"/>
        </w:rPr>
        <w:t xml:space="preserve"> the assessment of the Part II documentation </w:t>
      </w:r>
      <w:r w:rsidRPr="006C3987">
        <w:rPr>
          <w:rStyle w:val="ts-alignment-element"/>
          <w:rFonts w:ascii="Segoe UI" w:hAnsi="Segoe UI" w:cs="Segoe UI"/>
          <w:i/>
          <w:iCs/>
          <w:sz w:val="21"/>
          <w:szCs w:val="21"/>
          <w:lang w:val="en"/>
        </w:rPr>
        <w:t>is</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carried</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out</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by</w:t>
      </w:r>
      <w:r w:rsidRPr="006C3987">
        <w:rPr>
          <w:rFonts w:ascii="Segoe UI" w:hAnsi="Segoe UI" w:cs="Segoe UI"/>
          <w:i/>
          <w:iCs/>
          <w:sz w:val="21"/>
          <w:szCs w:val="21"/>
          <w:lang w:val="en"/>
        </w:rPr>
        <w:t xml:space="preserve"> the </w:t>
      </w:r>
      <w:r w:rsidRPr="006C3987">
        <w:rPr>
          <w:rStyle w:val="ts-alignment-element"/>
          <w:rFonts w:ascii="Segoe UI" w:hAnsi="Segoe UI" w:cs="Segoe UI"/>
          <w:i/>
          <w:iCs/>
          <w:sz w:val="21"/>
          <w:szCs w:val="21"/>
          <w:lang w:val="en"/>
        </w:rPr>
        <w:t>SÚKL</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Ethics</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Committee</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which</w:t>
      </w:r>
      <w:r w:rsidRPr="006C3987">
        <w:rPr>
          <w:rFonts w:ascii="Segoe UI" w:hAnsi="Segoe UI" w:cs="Segoe UI"/>
          <w:i/>
          <w:iCs/>
          <w:sz w:val="21"/>
          <w:szCs w:val="21"/>
          <w:lang w:val="en"/>
        </w:rPr>
        <w:t xml:space="preserve"> will </w:t>
      </w:r>
      <w:r w:rsidRPr="006C3987">
        <w:rPr>
          <w:rStyle w:val="ts-alignment-element"/>
          <w:rFonts w:ascii="Segoe UI" w:hAnsi="Segoe UI" w:cs="Segoe UI"/>
          <w:i/>
          <w:iCs/>
          <w:sz w:val="21"/>
          <w:szCs w:val="21"/>
          <w:lang w:val="en"/>
        </w:rPr>
        <w:t>be</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communicated</w:t>
      </w:r>
      <w:r w:rsidRPr="006C3987">
        <w:rPr>
          <w:rFonts w:ascii="Segoe UI" w:hAnsi="Segoe UI" w:cs="Segoe UI"/>
          <w:i/>
          <w:iCs/>
          <w:sz w:val="21"/>
          <w:szCs w:val="21"/>
          <w:lang w:val="en"/>
        </w:rPr>
        <w:t xml:space="preserve"> to you </w:t>
      </w:r>
      <w:r w:rsidRPr="006C3987">
        <w:rPr>
          <w:rStyle w:val="ts-alignment-element"/>
          <w:rFonts w:ascii="Segoe UI" w:hAnsi="Segoe UI" w:cs="Segoe UI"/>
          <w:i/>
          <w:iCs/>
          <w:sz w:val="21"/>
          <w:szCs w:val="21"/>
          <w:lang w:val="en"/>
        </w:rPr>
        <w:t>in</w:t>
      </w:r>
      <w:r w:rsidRPr="006C3987">
        <w:rPr>
          <w:rFonts w:ascii="Segoe UI" w:hAnsi="Segoe UI" w:cs="Segoe UI"/>
          <w:i/>
          <w:iCs/>
          <w:sz w:val="21"/>
          <w:szCs w:val="21"/>
          <w:lang w:val="en"/>
        </w:rPr>
        <w:t xml:space="preserve"> the </w:t>
      </w:r>
      <w:r w:rsidRPr="006C3987">
        <w:rPr>
          <w:rStyle w:val="ts-alignment-element"/>
          <w:rFonts w:ascii="Segoe UI" w:hAnsi="Segoe UI" w:cs="Segoe UI"/>
          <w:i/>
          <w:iCs/>
          <w:sz w:val="21"/>
          <w:szCs w:val="21"/>
          <w:lang w:val="en"/>
        </w:rPr>
        <w:t>validation,</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you</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will</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make</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a</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payment</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for</w:t>
      </w:r>
      <w:r w:rsidRPr="006C3987">
        <w:rPr>
          <w:rFonts w:ascii="Segoe UI" w:hAnsi="Segoe UI" w:cs="Segoe UI"/>
          <w:i/>
          <w:iCs/>
          <w:sz w:val="21"/>
          <w:szCs w:val="21"/>
          <w:lang w:val="en"/>
        </w:rPr>
        <w:t xml:space="preserve"> the </w:t>
      </w:r>
      <w:r w:rsidRPr="006C3987">
        <w:rPr>
          <w:rStyle w:val="ts-alignment-element"/>
          <w:rFonts w:ascii="Segoe UI" w:hAnsi="Segoe UI" w:cs="Segoe UI"/>
          <w:i/>
          <w:iCs/>
          <w:sz w:val="21"/>
          <w:szCs w:val="21"/>
          <w:lang w:val="en"/>
        </w:rPr>
        <w:t>assessment</w:t>
      </w:r>
      <w:r w:rsidRPr="006C3987">
        <w:rPr>
          <w:rFonts w:ascii="Segoe UI" w:hAnsi="Segoe UI" w:cs="Segoe UI"/>
          <w:i/>
          <w:iCs/>
          <w:sz w:val="21"/>
          <w:szCs w:val="21"/>
          <w:lang w:val="en"/>
        </w:rPr>
        <w:t xml:space="preserve"> of </w:t>
      </w:r>
      <w:r w:rsidRPr="006C3987">
        <w:rPr>
          <w:rStyle w:val="ts-alignment-element"/>
          <w:rFonts w:ascii="Segoe UI" w:hAnsi="Segoe UI" w:cs="Segoe UI"/>
          <w:i/>
          <w:iCs/>
          <w:sz w:val="21"/>
          <w:szCs w:val="21"/>
          <w:lang w:val="en"/>
        </w:rPr>
        <w:t>Part</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II</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of</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the</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documentation</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according</w:t>
      </w:r>
      <w:r w:rsidRPr="006C3987">
        <w:rPr>
          <w:rFonts w:ascii="Segoe UI" w:hAnsi="Segoe UI" w:cs="Segoe UI"/>
          <w:i/>
          <w:iCs/>
          <w:sz w:val="21"/>
          <w:szCs w:val="21"/>
          <w:lang w:val="en"/>
        </w:rPr>
        <w:t xml:space="preserve"> to </w:t>
      </w:r>
      <w:r w:rsidRPr="006C3987">
        <w:rPr>
          <w:rStyle w:val="ts-alignment-element"/>
          <w:rFonts w:ascii="Segoe UI" w:hAnsi="Segoe UI" w:cs="Segoe UI"/>
          <w:i/>
          <w:iCs/>
          <w:sz w:val="21"/>
          <w:szCs w:val="21"/>
          <w:lang w:val="en"/>
        </w:rPr>
        <w:t>instruction</w:t>
      </w:r>
      <w:r w:rsidRPr="006C3987">
        <w:rPr>
          <w:rFonts w:ascii="Segoe UI" w:hAnsi="Segoe UI" w:cs="Segoe UI"/>
          <w:i/>
          <w:iCs/>
          <w:sz w:val="21"/>
          <w:szCs w:val="21"/>
          <w:lang w:val="en"/>
        </w:rPr>
        <w:t xml:space="preserve"> </w:t>
      </w:r>
      <w:r w:rsidR="006C3987" w:rsidRPr="006C3987">
        <w:rPr>
          <w:rFonts w:ascii="Segoe UI" w:hAnsi="Segoe UI" w:cs="Segoe UI"/>
          <w:i/>
          <w:iCs/>
          <w:sz w:val="21"/>
          <w:szCs w:val="21"/>
          <w:lang w:val="en"/>
        </w:rPr>
        <w:t xml:space="preserve">in SÚKL guideline </w:t>
      </w:r>
      <w:r w:rsidRPr="006C3987">
        <w:rPr>
          <w:rStyle w:val="ts-alignment-element"/>
          <w:rFonts w:ascii="Segoe UI" w:hAnsi="Segoe UI" w:cs="Segoe UI"/>
          <w:i/>
          <w:iCs/>
          <w:sz w:val="21"/>
          <w:szCs w:val="21"/>
          <w:lang w:val="en"/>
        </w:rPr>
        <w:t>UST</w:t>
      </w:r>
      <w:r w:rsidRPr="006C3987">
        <w:rPr>
          <w:rFonts w:ascii="Segoe UI" w:hAnsi="Segoe UI" w:cs="Segoe UI"/>
          <w:i/>
          <w:iCs/>
          <w:sz w:val="21"/>
          <w:szCs w:val="21"/>
          <w:lang w:val="en"/>
        </w:rPr>
        <w:t>-</w:t>
      </w:r>
      <w:r w:rsidRPr="006C3987">
        <w:rPr>
          <w:rStyle w:val="ts-alignment-element"/>
          <w:rFonts w:ascii="Segoe UI" w:hAnsi="Segoe UI" w:cs="Segoe UI"/>
          <w:i/>
          <w:iCs/>
          <w:sz w:val="21"/>
          <w:szCs w:val="21"/>
          <w:lang w:val="en"/>
        </w:rPr>
        <w:t>29</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(codes</w:t>
      </w:r>
      <w:r w:rsidRPr="006C3987">
        <w:rPr>
          <w:rFonts w:ascii="Segoe UI" w:hAnsi="Segoe UI" w:cs="Segoe UI"/>
          <w:i/>
          <w:iCs/>
          <w:sz w:val="21"/>
          <w:szCs w:val="21"/>
          <w:lang w:val="en"/>
        </w:rPr>
        <w:t xml:space="preserve"> K-</w:t>
      </w:r>
      <w:r w:rsidRPr="006C3987">
        <w:rPr>
          <w:rStyle w:val="ts-alignment-element"/>
          <w:rFonts w:ascii="Segoe UI" w:hAnsi="Segoe UI" w:cs="Segoe UI"/>
          <w:i/>
          <w:iCs/>
          <w:sz w:val="21"/>
          <w:szCs w:val="21"/>
          <w:lang w:val="en"/>
        </w:rPr>
        <w:t>023</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to</w:t>
      </w:r>
      <w:r w:rsidRPr="006C3987">
        <w:rPr>
          <w:rFonts w:ascii="Segoe UI" w:hAnsi="Segoe UI" w:cs="Segoe UI"/>
          <w:i/>
          <w:iCs/>
          <w:sz w:val="21"/>
          <w:szCs w:val="21"/>
          <w:lang w:val="en"/>
        </w:rPr>
        <w:t xml:space="preserve"> </w:t>
      </w:r>
      <w:r w:rsidRPr="006C3987">
        <w:rPr>
          <w:rStyle w:val="ts-alignment-element"/>
          <w:rFonts w:ascii="Segoe UI" w:hAnsi="Segoe UI" w:cs="Segoe UI"/>
          <w:i/>
          <w:iCs/>
          <w:sz w:val="21"/>
          <w:szCs w:val="21"/>
          <w:lang w:val="en"/>
        </w:rPr>
        <w:t>K-028)</w:t>
      </w:r>
    </w:p>
    <w:p w14:paraId="72DCF670" w14:textId="01319EDD" w:rsidR="004A54AF" w:rsidRPr="006C3987" w:rsidRDefault="00EC5AEB" w:rsidP="00EC5AEB">
      <w:pPr>
        <w:shd w:val="clear" w:color="auto" w:fill="FFFFFF"/>
        <w:rPr>
          <w:i/>
          <w:iCs/>
          <w:lang w:val="en"/>
        </w:rPr>
      </w:pPr>
      <w:r w:rsidRPr="006C3987">
        <w:t xml:space="preserve">V případě, že posouzení dokumentace části II bude provádět jedna z etických komisí pro multicentrická hodnocení, je výše poplatku plus DPH a etická komise Vám vystaví fakturu, kterou zašle na Vámi uvedený email. / </w:t>
      </w:r>
      <w:r w:rsidRPr="006C3987">
        <w:rPr>
          <w:rFonts w:ascii="Segoe UI" w:eastAsia="Times New Roman" w:hAnsi="Segoe UI" w:cs="Segoe UI"/>
          <w:i/>
          <w:iCs/>
          <w:sz w:val="21"/>
          <w:szCs w:val="21"/>
          <w:lang w:val="en" w:eastAsia="cs-CZ"/>
        </w:rPr>
        <w:t xml:space="preserve">If the assessment of the Part II documentation will be carried out by one of the </w:t>
      </w:r>
      <w:r w:rsidR="006C3987" w:rsidRPr="006C3987">
        <w:rPr>
          <w:rFonts w:ascii="Segoe UI" w:eastAsia="Times New Roman" w:hAnsi="Segoe UI" w:cs="Segoe UI"/>
          <w:i/>
          <w:iCs/>
          <w:sz w:val="21"/>
          <w:szCs w:val="21"/>
          <w:lang w:val="en" w:eastAsia="cs-CZ"/>
        </w:rPr>
        <w:t xml:space="preserve">so-called Multicentric </w:t>
      </w:r>
      <w:r w:rsidRPr="006C3987">
        <w:rPr>
          <w:rFonts w:ascii="Segoe UI" w:eastAsia="Times New Roman" w:hAnsi="Segoe UI" w:cs="Segoe UI"/>
          <w:i/>
          <w:iCs/>
          <w:sz w:val="21"/>
          <w:szCs w:val="21"/>
          <w:lang w:val="en" w:eastAsia="cs-CZ"/>
        </w:rPr>
        <w:t>Ethics Committees, the amount of the fee is plus VAT</w:t>
      </w:r>
      <w:r w:rsidR="006C3987" w:rsidRPr="006C3987">
        <w:rPr>
          <w:rFonts w:ascii="Segoe UI" w:eastAsia="Times New Roman" w:hAnsi="Segoe UI" w:cs="Segoe UI"/>
          <w:i/>
          <w:iCs/>
          <w:sz w:val="21"/>
          <w:szCs w:val="21"/>
          <w:lang w:val="en" w:eastAsia="cs-CZ"/>
        </w:rPr>
        <w:t>. Multicentric Ethics Committee</w:t>
      </w:r>
      <w:r w:rsidRPr="006C3987">
        <w:rPr>
          <w:rFonts w:ascii="Segoe UI" w:eastAsia="Times New Roman" w:hAnsi="Segoe UI" w:cs="Segoe UI"/>
          <w:i/>
          <w:iCs/>
          <w:sz w:val="21"/>
          <w:szCs w:val="21"/>
          <w:lang w:val="en" w:eastAsia="cs-CZ"/>
        </w:rPr>
        <w:t xml:space="preserve"> will issue an invoice and </w:t>
      </w:r>
      <w:r w:rsidR="009F0B36" w:rsidRPr="006C3987">
        <w:rPr>
          <w:rFonts w:ascii="Segoe UI" w:eastAsia="Times New Roman" w:hAnsi="Segoe UI" w:cs="Segoe UI"/>
          <w:i/>
          <w:iCs/>
          <w:sz w:val="21"/>
          <w:szCs w:val="21"/>
          <w:lang w:val="en" w:eastAsia="cs-CZ"/>
        </w:rPr>
        <w:t>send</w:t>
      </w:r>
      <w:r w:rsidRPr="006C3987">
        <w:rPr>
          <w:rFonts w:ascii="Segoe UI" w:eastAsia="Times New Roman" w:hAnsi="Segoe UI" w:cs="Segoe UI"/>
          <w:i/>
          <w:iCs/>
          <w:sz w:val="21"/>
          <w:szCs w:val="21"/>
          <w:lang w:val="en" w:eastAsia="cs-CZ"/>
        </w:rPr>
        <w:t xml:space="preserve"> </w:t>
      </w:r>
      <w:r w:rsidR="006C3987" w:rsidRPr="006C3987">
        <w:rPr>
          <w:rFonts w:ascii="Segoe UI" w:eastAsia="Times New Roman" w:hAnsi="Segoe UI" w:cs="Segoe UI"/>
          <w:i/>
          <w:iCs/>
          <w:sz w:val="21"/>
          <w:szCs w:val="21"/>
          <w:lang w:val="en" w:eastAsia="cs-CZ"/>
        </w:rPr>
        <w:t xml:space="preserve">it </w:t>
      </w:r>
      <w:r w:rsidRPr="006C3987">
        <w:rPr>
          <w:rFonts w:ascii="Segoe UI" w:eastAsia="Times New Roman" w:hAnsi="Segoe UI" w:cs="Segoe UI"/>
          <w:i/>
          <w:iCs/>
          <w:sz w:val="21"/>
          <w:szCs w:val="21"/>
          <w:lang w:val="en" w:eastAsia="cs-CZ"/>
        </w:rPr>
        <w:t>to your email.</w:t>
      </w:r>
    </w:p>
    <w:sectPr w:rsidR="004A54AF" w:rsidRPr="006C3987" w:rsidSect="00534DF1">
      <w:headerReference w:type="default" r:id="rId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F51CA" w14:textId="77777777" w:rsidR="00D15031" w:rsidRDefault="00D15031" w:rsidP="0041332B">
      <w:pPr>
        <w:spacing w:after="0" w:line="240" w:lineRule="auto"/>
      </w:pPr>
      <w:r>
        <w:separator/>
      </w:r>
    </w:p>
  </w:endnote>
  <w:endnote w:type="continuationSeparator" w:id="0">
    <w:p w14:paraId="08769AD7" w14:textId="77777777" w:rsidR="00D15031" w:rsidRDefault="00D15031" w:rsidP="0041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F9AD" w14:textId="08AD8C38" w:rsidR="007E0F3C" w:rsidRPr="009F0B36" w:rsidRDefault="007E0F3C">
    <w:pPr>
      <w:pStyle w:val="Zpat"/>
      <w:rPr>
        <w:lang w:val="en-GB"/>
      </w:rPr>
    </w:pPr>
    <w:r>
      <w:t xml:space="preserve">Platné od 1. 1. 2026 / </w:t>
    </w:r>
    <w:r w:rsidRPr="009F0B36">
      <w:rPr>
        <w:i/>
        <w:iCs/>
        <w:lang w:val="en-GB"/>
      </w:rPr>
      <w:t>Valid from 1 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D0D8" w14:textId="77777777" w:rsidR="00D15031" w:rsidRDefault="00D15031" w:rsidP="0041332B">
      <w:pPr>
        <w:spacing w:after="0" w:line="240" w:lineRule="auto"/>
      </w:pPr>
      <w:r>
        <w:separator/>
      </w:r>
    </w:p>
  </w:footnote>
  <w:footnote w:type="continuationSeparator" w:id="0">
    <w:p w14:paraId="714C007A" w14:textId="77777777" w:rsidR="00D15031" w:rsidRDefault="00D15031" w:rsidP="00413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D509" w14:textId="0F4C62FD" w:rsidR="0041332B" w:rsidRDefault="0041332B">
    <w:pPr>
      <w:pStyle w:val="Zhlav"/>
    </w:pPr>
    <w:r>
      <w:t>Příloha č. 8</w:t>
    </w:r>
  </w:p>
  <w:p w14:paraId="7B463487" w14:textId="77777777" w:rsidR="0041332B" w:rsidRDefault="0041332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F1"/>
    <w:rsid w:val="00166CB9"/>
    <w:rsid w:val="00177694"/>
    <w:rsid w:val="00372600"/>
    <w:rsid w:val="0037754E"/>
    <w:rsid w:val="003E0477"/>
    <w:rsid w:val="0041332B"/>
    <w:rsid w:val="00455391"/>
    <w:rsid w:val="004A54AF"/>
    <w:rsid w:val="00534DF1"/>
    <w:rsid w:val="006C3987"/>
    <w:rsid w:val="007E0F3C"/>
    <w:rsid w:val="008547AE"/>
    <w:rsid w:val="009F0B36"/>
    <w:rsid w:val="00B16998"/>
    <w:rsid w:val="00D15031"/>
    <w:rsid w:val="00EC5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6BFA"/>
  <w15:chartTrackingRefBased/>
  <w15:docId w15:val="{84BC2176-FF99-4E67-946A-FDB1239D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3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1332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1332B"/>
  </w:style>
  <w:style w:type="paragraph" w:styleId="Zpat">
    <w:name w:val="footer"/>
    <w:basedOn w:val="Normln"/>
    <w:link w:val="ZpatChar"/>
    <w:uiPriority w:val="99"/>
    <w:unhideWhenUsed/>
    <w:rsid w:val="0041332B"/>
    <w:pPr>
      <w:tabs>
        <w:tab w:val="center" w:pos="4536"/>
        <w:tab w:val="right" w:pos="9072"/>
      </w:tabs>
      <w:spacing w:after="0" w:line="240" w:lineRule="auto"/>
    </w:pPr>
  </w:style>
  <w:style w:type="character" w:customStyle="1" w:styleId="ZpatChar">
    <w:name w:val="Zápatí Char"/>
    <w:basedOn w:val="Standardnpsmoodstavce"/>
    <w:link w:val="Zpat"/>
    <w:uiPriority w:val="99"/>
    <w:rsid w:val="0041332B"/>
  </w:style>
  <w:style w:type="character" w:customStyle="1" w:styleId="ts-alignment-element">
    <w:name w:val="ts-alignment-element"/>
    <w:basedOn w:val="Standardnpsmoodstavce"/>
    <w:rsid w:val="00EC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565</Words>
  <Characters>3339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Alice</dc:creator>
  <cp:keywords/>
  <dc:description/>
  <cp:lastModifiedBy>Němcová Alice</cp:lastModifiedBy>
  <cp:revision>3</cp:revision>
  <dcterms:created xsi:type="dcterms:W3CDTF">2026-01-26T15:03:00Z</dcterms:created>
  <dcterms:modified xsi:type="dcterms:W3CDTF">2026-01-27T14:15:00Z</dcterms:modified>
</cp:coreProperties>
</file>