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AA9E" w14:textId="56283314" w:rsidR="006D4114" w:rsidRPr="00040235" w:rsidRDefault="006D4114">
      <w:pPr>
        <w:pStyle w:val="Nadpis1"/>
        <w:tabs>
          <w:tab w:val="left" w:pos="2990"/>
        </w:tabs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40"/>
        <w:gridCol w:w="1611"/>
        <w:gridCol w:w="550"/>
        <w:gridCol w:w="811"/>
        <w:gridCol w:w="2429"/>
        <w:gridCol w:w="8504"/>
      </w:tblGrid>
      <w:tr w:rsidR="006D4114" w:rsidRPr="00040235" w14:paraId="0ACCBE9F" w14:textId="77777777">
        <w:trPr>
          <w:trHeight w:hRule="exact" w:val="281"/>
        </w:trPr>
        <w:tc>
          <w:tcPr>
            <w:tcW w:w="430" w:type="dxa"/>
          </w:tcPr>
          <w:p w14:paraId="66B0C466" w14:textId="77777777" w:rsidR="006D4114" w:rsidRPr="00040235" w:rsidRDefault="00ED12AE">
            <w:pPr>
              <w:pStyle w:val="TableParagraph"/>
              <w:rPr>
                <w:b/>
                <w:sz w:val="18"/>
              </w:rPr>
            </w:pPr>
            <w:r w:rsidRPr="00040235">
              <w:rPr>
                <w:b/>
                <w:sz w:val="18"/>
              </w:rPr>
              <w:t>č.</w:t>
            </w:r>
          </w:p>
        </w:tc>
        <w:tc>
          <w:tcPr>
            <w:tcW w:w="540" w:type="dxa"/>
          </w:tcPr>
          <w:p w14:paraId="266B7ADC" w14:textId="77777777" w:rsidR="006D4114" w:rsidRPr="00040235" w:rsidRDefault="00ED12AE">
            <w:pPr>
              <w:pStyle w:val="TableParagraph"/>
              <w:rPr>
                <w:b/>
                <w:sz w:val="18"/>
              </w:rPr>
            </w:pPr>
            <w:r w:rsidRPr="00040235">
              <w:rPr>
                <w:b/>
                <w:sz w:val="18"/>
              </w:rPr>
              <w:t>P/N</w:t>
            </w:r>
          </w:p>
        </w:tc>
        <w:tc>
          <w:tcPr>
            <w:tcW w:w="1611" w:type="dxa"/>
          </w:tcPr>
          <w:p w14:paraId="045522CA" w14:textId="77777777" w:rsidR="006D4114" w:rsidRPr="00040235" w:rsidRDefault="00ED12AE">
            <w:pPr>
              <w:pStyle w:val="TableParagraph"/>
              <w:rPr>
                <w:b/>
                <w:sz w:val="18"/>
              </w:rPr>
            </w:pPr>
            <w:r w:rsidRPr="00040235">
              <w:rPr>
                <w:b/>
                <w:sz w:val="18"/>
              </w:rPr>
              <w:t>Označení</w:t>
            </w:r>
          </w:p>
        </w:tc>
        <w:tc>
          <w:tcPr>
            <w:tcW w:w="550" w:type="dxa"/>
          </w:tcPr>
          <w:p w14:paraId="51246331" w14:textId="77777777" w:rsidR="006D4114" w:rsidRPr="00040235" w:rsidRDefault="00ED12AE">
            <w:pPr>
              <w:pStyle w:val="TableParagraph"/>
              <w:rPr>
                <w:b/>
                <w:sz w:val="18"/>
              </w:rPr>
            </w:pPr>
            <w:r w:rsidRPr="00040235">
              <w:rPr>
                <w:b/>
                <w:sz w:val="18"/>
              </w:rPr>
              <w:t>Typ</w:t>
            </w:r>
          </w:p>
        </w:tc>
        <w:tc>
          <w:tcPr>
            <w:tcW w:w="811" w:type="dxa"/>
          </w:tcPr>
          <w:p w14:paraId="7BFE3766" w14:textId="77777777" w:rsidR="006D4114" w:rsidRPr="00040235" w:rsidRDefault="00ED12AE">
            <w:pPr>
              <w:pStyle w:val="TableParagraph"/>
              <w:ind w:left="0" w:right="65"/>
              <w:jc w:val="right"/>
              <w:rPr>
                <w:b/>
                <w:sz w:val="18"/>
              </w:rPr>
            </w:pPr>
            <w:r w:rsidRPr="00040235">
              <w:rPr>
                <w:b/>
                <w:sz w:val="18"/>
              </w:rPr>
              <w:t>Velikost</w:t>
            </w:r>
          </w:p>
        </w:tc>
        <w:tc>
          <w:tcPr>
            <w:tcW w:w="2429" w:type="dxa"/>
          </w:tcPr>
          <w:p w14:paraId="62A033C5" w14:textId="77777777" w:rsidR="006D4114" w:rsidRPr="00040235" w:rsidRDefault="00ED12AE">
            <w:pPr>
              <w:pStyle w:val="TableParagraph"/>
              <w:rPr>
                <w:b/>
                <w:sz w:val="18"/>
              </w:rPr>
            </w:pPr>
            <w:r w:rsidRPr="00040235">
              <w:rPr>
                <w:b/>
                <w:sz w:val="18"/>
              </w:rPr>
              <w:t>Název</w:t>
            </w:r>
          </w:p>
        </w:tc>
        <w:tc>
          <w:tcPr>
            <w:tcW w:w="8504" w:type="dxa"/>
          </w:tcPr>
          <w:p w14:paraId="36EF062D" w14:textId="77777777" w:rsidR="006D4114" w:rsidRPr="00040235" w:rsidRDefault="00ED12AE">
            <w:pPr>
              <w:pStyle w:val="TableParagraph"/>
              <w:rPr>
                <w:b/>
                <w:sz w:val="18"/>
              </w:rPr>
            </w:pPr>
            <w:r w:rsidRPr="00040235">
              <w:rPr>
                <w:b/>
                <w:sz w:val="18"/>
              </w:rPr>
              <w:t>Popis</w:t>
            </w:r>
          </w:p>
        </w:tc>
      </w:tr>
      <w:tr w:rsidR="006D4114" w:rsidRPr="00040235" w14:paraId="1A153F09" w14:textId="77777777" w:rsidTr="00F31E25">
        <w:trPr>
          <w:trHeight w:hRule="exact" w:val="283"/>
        </w:trPr>
        <w:tc>
          <w:tcPr>
            <w:tcW w:w="430" w:type="dxa"/>
          </w:tcPr>
          <w:p w14:paraId="6BB99E2B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1</w:t>
            </w:r>
          </w:p>
        </w:tc>
        <w:tc>
          <w:tcPr>
            <w:tcW w:w="540" w:type="dxa"/>
          </w:tcPr>
          <w:p w14:paraId="4AF5D19B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5376F60F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KOD</w:t>
            </w:r>
          </w:p>
        </w:tc>
        <w:tc>
          <w:tcPr>
            <w:tcW w:w="550" w:type="dxa"/>
          </w:tcPr>
          <w:p w14:paraId="15CA739F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C</w:t>
            </w:r>
          </w:p>
        </w:tc>
        <w:tc>
          <w:tcPr>
            <w:tcW w:w="811" w:type="dxa"/>
          </w:tcPr>
          <w:p w14:paraId="12C249E5" w14:textId="77777777" w:rsidR="006D4114" w:rsidRPr="00040235" w:rsidRDefault="00ED12AE">
            <w:pPr>
              <w:pStyle w:val="TableParagraph"/>
              <w:spacing w:before="4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7</w:t>
            </w:r>
          </w:p>
        </w:tc>
        <w:tc>
          <w:tcPr>
            <w:tcW w:w="2429" w:type="dxa"/>
          </w:tcPr>
          <w:p w14:paraId="42999355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kód SÚKL</w:t>
            </w:r>
          </w:p>
        </w:tc>
        <w:tc>
          <w:tcPr>
            <w:tcW w:w="8504" w:type="dxa"/>
          </w:tcPr>
          <w:p w14:paraId="18B6061D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Kód léčivého přípravku (dále LP) přidělený SÚKL variantě LP v rámci rozhodnutí o registraci LP.</w:t>
            </w:r>
          </w:p>
        </w:tc>
      </w:tr>
      <w:tr w:rsidR="006D4114" w:rsidRPr="00040235" w14:paraId="26B1ECC4" w14:textId="77777777" w:rsidTr="00F31E25">
        <w:trPr>
          <w:trHeight w:hRule="exact" w:val="283"/>
        </w:trPr>
        <w:tc>
          <w:tcPr>
            <w:tcW w:w="430" w:type="dxa"/>
          </w:tcPr>
          <w:p w14:paraId="3C1FEE19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2</w:t>
            </w:r>
          </w:p>
        </w:tc>
        <w:tc>
          <w:tcPr>
            <w:tcW w:w="540" w:type="dxa"/>
          </w:tcPr>
          <w:p w14:paraId="2FFE06E8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3F5BB33F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NAZ</w:t>
            </w:r>
          </w:p>
        </w:tc>
        <w:tc>
          <w:tcPr>
            <w:tcW w:w="550" w:type="dxa"/>
          </w:tcPr>
          <w:p w14:paraId="3BF83DDF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C</w:t>
            </w:r>
          </w:p>
        </w:tc>
        <w:tc>
          <w:tcPr>
            <w:tcW w:w="811" w:type="dxa"/>
          </w:tcPr>
          <w:p w14:paraId="3D6A6084" w14:textId="77777777" w:rsidR="006D4114" w:rsidRPr="00040235" w:rsidRDefault="00ED12AE">
            <w:pPr>
              <w:pStyle w:val="TableParagraph"/>
              <w:spacing w:before="4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70</w:t>
            </w:r>
          </w:p>
        </w:tc>
        <w:tc>
          <w:tcPr>
            <w:tcW w:w="2429" w:type="dxa"/>
          </w:tcPr>
          <w:p w14:paraId="35056CE3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název LP</w:t>
            </w:r>
          </w:p>
        </w:tc>
        <w:tc>
          <w:tcPr>
            <w:tcW w:w="8504" w:type="dxa"/>
          </w:tcPr>
          <w:p w14:paraId="2C2F1E80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Název LP ve smyslu pokynu SÚKL REG-29 verze 4 v souladu se Směrnicí 2001/83/ES</w:t>
            </w:r>
          </w:p>
        </w:tc>
      </w:tr>
      <w:tr w:rsidR="006D4114" w:rsidRPr="00040235" w14:paraId="4AAB42E3" w14:textId="77777777" w:rsidTr="00F31E25">
        <w:trPr>
          <w:trHeight w:hRule="exact" w:val="510"/>
        </w:trPr>
        <w:tc>
          <w:tcPr>
            <w:tcW w:w="430" w:type="dxa"/>
          </w:tcPr>
          <w:p w14:paraId="12D4F3FF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3</w:t>
            </w:r>
          </w:p>
        </w:tc>
        <w:tc>
          <w:tcPr>
            <w:tcW w:w="540" w:type="dxa"/>
          </w:tcPr>
          <w:p w14:paraId="0EA13A7B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5A4D470A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DOP</w:t>
            </w:r>
          </w:p>
        </w:tc>
        <w:tc>
          <w:tcPr>
            <w:tcW w:w="550" w:type="dxa"/>
          </w:tcPr>
          <w:p w14:paraId="61AB39F9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C</w:t>
            </w:r>
          </w:p>
        </w:tc>
        <w:tc>
          <w:tcPr>
            <w:tcW w:w="811" w:type="dxa"/>
          </w:tcPr>
          <w:p w14:paraId="00DC0284" w14:textId="77777777" w:rsidR="006D4114" w:rsidRPr="00040235" w:rsidRDefault="00ED12AE">
            <w:pPr>
              <w:pStyle w:val="TableParagraph"/>
              <w:spacing w:before="4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75</w:t>
            </w:r>
          </w:p>
        </w:tc>
        <w:tc>
          <w:tcPr>
            <w:tcW w:w="2429" w:type="dxa"/>
          </w:tcPr>
          <w:p w14:paraId="13593B80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specifikace LP</w:t>
            </w:r>
          </w:p>
        </w:tc>
        <w:tc>
          <w:tcPr>
            <w:tcW w:w="8504" w:type="dxa"/>
          </w:tcPr>
          <w:p w14:paraId="614C6428" w14:textId="77777777" w:rsidR="006D4114" w:rsidRPr="00040235" w:rsidRDefault="00ED12AE">
            <w:pPr>
              <w:pStyle w:val="TableParagraph"/>
              <w:spacing w:before="4"/>
              <w:ind w:right="4"/>
              <w:rPr>
                <w:sz w:val="18"/>
              </w:rPr>
            </w:pPr>
            <w:r w:rsidRPr="00040235">
              <w:rPr>
                <w:sz w:val="18"/>
              </w:rPr>
              <w:t>Doplněk názvu LP, který jednoznačně určuje variantu LP, sestávající z integrace jeho lékové formy, velikosti balení a síly. Tato položka Seznamu je dále upřesněna v položkách CESTA, FORMA, BALENI a SILA.</w:t>
            </w:r>
          </w:p>
        </w:tc>
      </w:tr>
      <w:tr w:rsidR="006D4114" w:rsidRPr="00040235" w14:paraId="75F90C28" w14:textId="77777777" w:rsidTr="00F31E25">
        <w:trPr>
          <w:trHeight w:hRule="exact" w:val="283"/>
        </w:trPr>
        <w:tc>
          <w:tcPr>
            <w:tcW w:w="430" w:type="dxa"/>
          </w:tcPr>
          <w:p w14:paraId="2731D349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4</w:t>
            </w:r>
          </w:p>
        </w:tc>
        <w:tc>
          <w:tcPr>
            <w:tcW w:w="540" w:type="dxa"/>
          </w:tcPr>
          <w:p w14:paraId="3D8362AC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746D4170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PORADI_UHRX</w:t>
            </w:r>
          </w:p>
        </w:tc>
        <w:tc>
          <w:tcPr>
            <w:tcW w:w="550" w:type="dxa"/>
          </w:tcPr>
          <w:p w14:paraId="1E74678A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811" w:type="dxa"/>
          </w:tcPr>
          <w:p w14:paraId="72B4EABA" w14:textId="77777777" w:rsidR="006D4114" w:rsidRPr="00040235" w:rsidRDefault="00ED12AE">
            <w:pPr>
              <w:pStyle w:val="TableParagraph"/>
              <w:spacing w:before="4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3</w:t>
            </w:r>
          </w:p>
        </w:tc>
        <w:tc>
          <w:tcPr>
            <w:tcW w:w="2429" w:type="dxa"/>
          </w:tcPr>
          <w:p w14:paraId="219DDA5B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pořadí úhrady</w:t>
            </w:r>
          </w:p>
        </w:tc>
        <w:tc>
          <w:tcPr>
            <w:tcW w:w="8504" w:type="dxa"/>
          </w:tcPr>
          <w:p w14:paraId="3FCEA768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Pořadové číslo úhrady od úrovně 4 a výše</w:t>
            </w:r>
          </w:p>
        </w:tc>
      </w:tr>
      <w:tr w:rsidR="006D4114" w:rsidRPr="00040235" w14:paraId="35E36E80" w14:textId="77777777" w:rsidTr="004C0F88">
        <w:trPr>
          <w:trHeight w:hRule="exact" w:val="964"/>
        </w:trPr>
        <w:tc>
          <w:tcPr>
            <w:tcW w:w="430" w:type="dxa"/>
          </w:tcPr>
          <w:p w14:paraId="6E545064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5</w:t>
            </w:r>
          </w:p>
        </w:tc>
        <w:tc>
          <w:tcPr>
            <w:tcW w:w="540" w:type="dxa"/>
          </w:tcPr>
          <w:p w14:paraId="339D01E4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295E6185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UHRX</w:t>
            </w:r>
          </w:p>
        </w:tc>
        <w:tc>
          <w:tcPr>
            <w:tcW w:w="550" w:type="dxa"/>
          </w:tcPr>
          <w:p w14:paraId="24CFEF0E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811" w:type="dxa"/>
          </w:tcPr>
          <w:p w14:paraId="5812A75A" w14:textId="77777777" w:rsidR="006D4114" w:rsidRPr="00040235" w:rsidRDefault="00ED12AE">
            <w:pPr>
              <w:pStyle w:val="TableParagraph"/>
              <w:spacing w:before="4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13,2</w:t>
            </w:r>
          </w:p>
        </w:tc>
        <w:tc>
          <w:tcPr>
            <w:tcW w:w="2429" w:type="dxa"/>
          </w:tcPr>
          <w:p w14:paraId="5EAB1B88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X-tá úhrada</w:t>
            </w:r>
          </w:p>
        </w:tc>
        <w:tc>
          <w:tcPr>
            <w:tcW w:w="8504" w:type="dxa"/>
          </w:tcPr>
          <w:p w14:paraId="654C2990" w14:textId="77B5D1C4" w:rsidR="006D4114" w:rsidRPr="00040235" w:rsidRDefault="00ED12AE">
            <w:pPr>
              <w:pStyle w:val="TableParagraph"/>
              <w:spacing w:before="4"/>
              <w:ind w:right="163"/>
              <w:rPr>
                <w:sz w:val="18"/>
              </w:rPr>
            </w:pPr>
            <w:r w:rsidRPr="00040235">
              <w:rPr>
                <w:sz w:val="18"/>
              </w:rPr>
              <w:t>Výše X-té úhrady léčivého přípravku stanovená SÚKL podle § 39d</w:t>
            </w:r>
            <w:r w:rsidR="004C0F88">
              <w:rPr>
                <w:sz w:val="18"/>
              </w:rPr>
              <w:t xml:space="preserve">, 39da nebo 39db </w:t>
            </w:r>
            <w:r w:rsidRPr="00040235">
              <w:rPr>
                <w:sz w:val="18"/>
              </w:rPr>
              <w:t xml:space="preserve">zákona č. 48/1997 Sb. o veřejném zdravotním pojištění, ve znění pozdějších předpisů (dále také jen „zákon č. 48/1997 Sb.“) pro konečného spotřebitele (JUHRX navýšená o maximální obchodní přirážku dle cenového předpisu Ministerstva zdravotnictví ČR a DPH) </w:t>
            </w:r>
          </w:p>
        </w:tc>
      </w:tr>
      <w:tr w:rsidR="006D4114" w:rsidRPr="00040235" w14:paraId="493C3935" w14:textId="77777777" w:rsidTr="00F31E25">
        <w:trPr>
          <w:trHeight w:hRule="exact" w:val="283"/>
        </w:trPr>
        <w:tc>
          <w:tcPr>
            <w:tcW w:w="430" w:type="dxa"/>
          </w:tcPr>
          <w:p w14:paraId="711301A2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6</w:t>
            </w:r>
          </w:p>
        </w:tc>
        <w:tc>
          <w:tcPr>
            <w:tcW w:w="540" w:type="dxa"/>
          </w:tcPr>
          <w:p w14:paraId="01329B97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0D87AD86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JUHRX</w:t>
            </w:r>
          </w:p>
        </w:tc>
        <w:tc>
          <w:tcPr>
            <w:tcW w:w="550" w:type="dxa"/>
          </w:tcPr>
          <w:p w14:paraId="2918B3F7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811" w:type="dxa"/>
          </w:tcPr>
          <w:p w14:paraId="33BCD83F" w14:textId="77777777" w:rsidR="006D4114" w:rsidRPr="00040235" w:rsidRDefault="00ED12AE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13,2</w:t>
            </w:r>
          </w:p>
        </w:tc>
        <w:tc>
          <w:tcPr>
            <w:tcW w:w="2429" w:type="dxa"/>
          </w:tcPr>
          <w:p w14:paraId="6EC0ABFC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X-tá jádrová úhrada</w:t>
            </w:r>
          </w:p>
        </w:tc>
        <w:tc>
          <w:tcPr>
            <w:tcW w:w="8504" w:type="dxa"/>
          </w:tcPr>
          <w:p w14:paraId="7092C27D" w14:textId="13FAD5FB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Výše X-té jádrové úhrady léčivého přípravku stanovená SÚKL</w:t>
            </w:r>
          </w:p>
        </w:tc>
      </w:tr>
      <w:tr w:rsidR="006D4114" w:rsidRPr="00040235" w14:paraId="0DA43687" w14:textId="77777777" w:rsidTr="004C0F88">
        <w:trPr>
          <w:trHeight w:hRule="exact" w:val="4932"/>
        </w:trPr>
        <w:tc>
          <w:tcPr>
            <w:tcW w:w="430" w:type="dxa"/>
          </w:tcPr>
          <w:p w14:paraId="266B9393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7</w:t>
            </w:r>
          </w:p>
        </w:tc>
        <w:tc>
          <w:tcPr>
            <w:tcW w:w="540" w:type="dxa"/>
          </w:tcPr>
          <w:p w14:paraId="080948C5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6739634A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LEG_JUHRX</w:t>
            </w:r>
          </w:p>
        </w:tc>
        <w:tc>
          <w:tcPr>
            <w:tcW w:w="550" w:type="dxa"/>
          </w:tcPr>
          <w:p w14:paraId="1FA2F0CA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C</w:t>
            </w:r>
          </w:p>
        </w:tc>
        <w:tc>
          <w:tcPr>
            <w:tcW w:w="811" w:type="dxa"/>
          </w:tcPr>
          <w:p w14:paraId="48FC463B" w14:textId="77777777" w:rsidR="006D4114" w:rsidRPr="00040235" w:rsidRDefault="00ED12AE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1</w:t>
            </w:r>
          </w:p>
        </w:tc>
        <w:tc>
          <w:tcPr>
            <w:tcW w:w="2429" w:type="dxa"/>
          </w:tcPr>
          <w:p w14:paraId="111F1EE7" w14:textId="77777777" w:rsidR="006D4114" w:rsidRPr="00040235" w:rsidRDefault="00ED12AE">
            <w:pPr>
              <w:pStyle w:val="TableParagraph"/>
              <w:ind w:right="442"/>
              <w:rPr>
                <w:sz w:val="18"/>
              </w:rPr>
            </w:pPr>
            <w:r w:rsidRPr="00040235">
              <w:rPr>
                <w:sz w:val="18"/>
              </w:rPr>
              <w:t>právní základ X-té jádrové úhrady</w:t>
            </w:r>
          </w:p>
        </w:tc>
        <w:tc>
          <w:tcPr>
            <w:tcW w:w="8504" w:type="dxa"/>
          </w:tcPr>
          <w:p w14:paraId="71F132BF" w14:textId="77777777" w:rsidR="006D4114" w:rsidRPr="00040235" w:rsidRDefault="00ED12AE">
            <w:pPr>
              <w:pStyle w:val="TableParagraph"/>
              <w:spacing w:before="6" w:line="219" w:lineRule="exact"/>
              <w:ind w:left="42" w:right="939"/>
              <w:jc w:val="center"/>
              <w:rPr>
                <w:sz w:val="18"/>
              </w:rPr>
            </w:pPr>
            <w:r w:rsidRPr="00040235">
              <w:rPr>
                <w:sz w:val="18"/>
              </w:rPr>
              <w:t>Právní základ pro stanovení výše a podmínek jádrové úhrady LP/PZLÚ ze zdravotního pojištění; nabývá</w:t>
            </w:r>
          </w:p>
          <w:p w14:paraId="4D34B762" w14:textId="77777777" w:rsidR="006D4114" w:rsidRPr="00040235" w:rsidRDefault="00ED12AE">
            <w:pPr>
              <w:pStyle w:val="TableParagraph"/>
              <w:spacing w:before="0" w:line="217" w:lineRule="exact"/>
              <w:rPr>
                <w:sz w:val="18"/>
              </w:rPr>
            </w:pPr>
            <w:r w:rsidRPr="00040235">
              <w:rPr>
                <w:sz w:val="18"/>
              </w:rPr>
              <w:t>hodnot:</w:t>
            </w:r>
          </w:p>
          <w:p w14:paraId="7A6BF6F3" w14:textId="77777777" w:rsidR="006D4114" w:rsidRPr="00040235" w:rsidRDefault="00ED12AE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0" w:line="218" w:lineRule="exact"/>
              <w:rPr>
                <w:sz w:val="18"/>
              </w:rPr>
            </w:pPr>
            <w:r w:rsidRPr="00040235">
              <w:rPr>
                <w:sz w:val="18"/>
              </w:rPr>
              <w:t>- první dočasná úhrada vysoce inovativního léčivého přípravku dle § 39d zákona č. 48/1997</w:t>
            </w:r>
            <w:r w:rsidRPr="00040235">
              <w:rPr>
                <w:spacing w:val="-27"/>
                <w:sz w:val="18"/>
              </w:rPr>
              <w:t xml:space="preserve"> </w:t>
            </w:r>
            <w:r w:rsidRPr="00040235">
              <w:rPr>
                <w:sz w:val="18"/>
              </w:rPr>
              <w:t>Sb.</w:t>
            </w:r>
          </w:p>
          <w:p w14:paraId="1AEDCC01" w14:textId="77777777" w:rsidR="006D4114" w:rsidRPr="00040235" w:rsidRDefault="00ED12AE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19" w:lineRule="exact"/>
              <w:rPr>
                <w:sz w:val="18"/>
              </w:rPr>
            </w:pPr>
            <w:r w:rsidRPr="00040235">
              <w:rPr>
                <w:sz w:val="18"/>
              </w:rPr>
              <w:t>- druhá dočasná úhrada vysoce inovativního léčivého přípravku dle § 39d</w:t>
            </w:r>
            <w:r w:rsidRPr="00040235">
              <w:rPr>
                <w:spacing w:val="-28"/>
                <w:sz w:val="18"/>
              </w:rPr>
              <w:t xml:space="preserve"> </w:t>
            </w:r>
            <w:r w:rsidRPr="00040235">
              <w:rPr>
                <w:sz w:val="18"/>
              </w:rPr>
              <w:t>zákona č. 48/1997 Sb.</w:t>
            </w:r>
          </w:p>
          <w:p w14:paraId="2FB8026E" w14:textId="77777777" w:rsidR="006D4114" w:rsidRPr="00040235" w:rsidRDefault="00ED12AE">
            <w:pPr>
              <w:pStyle w:val="TableParagraph"/>
              <w:spacing w:before="0"/>
              <w:ind w:left="316"/>
              <w:rPr>
                <w:sz w:val="18"/>
              </w:rPr>
            </w:pPr>
            <w:r w:rsidRPr="00040235">
              <w:rPr>
                <w:b/>
                <w:sz w:val="18"/>
              </w:rPr>
              <w:t xml:space="preserve">D </w:t>
            </w:r>
            <w:r w:rsidRPr="00040235">
              <w:rPr>
                <w:sz w:val="18"/>
              </w:rPr>
              <w:t>– výše a podmínky úhrady léčivého přípravku určeného k léčbě vzácného onemocnění stanoveny dle § 39da zákona č. 48/1997 Sb.</w:t>
            </w:r>
          </w:p>
          <w:p w14:paraId="4141F50D" w14:textId="77777777" w:rsidR="006D4114" w:rsidRPr="00040235" w:rsidRDefault="00ED12AE">
            <w:pPr>
              <w:pStyle w:val="TableParagraph"/>
              <w:ind w:left="316"/>
              <w:rPr>
                <w:sz w:val="18"/>
              </w:rPr>
            </w:pPr>
            <w:r w:rsidRPr="00040235">
              <w:rPr>
                <w:b/>
                <w:sz w:val="18"/>
              </w:rPr>
              <w:t xml:space="preserve">E </w:t>
            </w:r>
            <w:r w:rsidRPr="00040235">
              <w:rPr>
                <w:sz w:val="18"/>
              </w:rPr>
              <w:t>– rozhodnutí o výši a podmínkách první dočasné úhrady vysoce inovativního léčivého přípravku dosud nenabylo právní moci a je předběžně vykonatelné</w:t>
            </w:r>
          </w:p>
          <w:p w14:paraId="1A62CB51" w14:textId="77777777" w:rsidR="006D4114" w:rsidRDefault="00ED12AE">
            <w:pPr>
              <w:pStyle w:val="TableParagraph"/>
              <w:spacing w:before="0"/>
              <w:ind w:left="316"/>
              <w:rPr>
                <w:sz w:val="18"/>
              </w:rPr>
            </w:pPr>
            <w:r w:rsidRPr="00040235">
              <w:rPr>
                <w:b/>
                <w:sz w:val="18"/>
              </w:rPr>
              <w:t xml:space="preserve">F </w:t>
            </w:r>
            <w:r w:rsidRPr="00040235">
              <w:rPr>
                <w:sz w:val="18"/>
              </w:rPr>
              <w:t>– rozhodnutí o výši a podmínkách druhé dočasné úhrady vysoce inovativního léčivého přípravku dosud nenabylo právní moci a je předběžně vykonatelné</w:t>
            </w:r>
          </w:p>
          <w:p w14:paraId="54FB176B" w14:textId="77777777" w:rsidR="004C0F88" w:rsidRDefault="004C0F88" w:rsidP="004C0F88">
            <w:pPr>
              <w:pStyle w:val="TableParagraph"/>
              <w:spacing w:before="0"/>
              <w:ind w:right="10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</w:t>
            </w:r>
            <w:r w:rsidRPr="00000A0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 </w:t>
            </w:r>
            <w:r w:rsidRPr="00000A07">
              <w:rPr>
                <w:rFonts w:asciiTheme="minorHAnsi" w:hAnsiTheme="minorHAnsi" w:cstheme="minorHAnsi"/>
                <w:sz w:val="18"/>
                <w:szCs w:val="18"/>
              </w:rPr>
              <w:t xml:space="preserve">– úhrada LP obsahujícího léčivou látku dle § 39 </w:t>
            </w:r>
            <w:proofErr w:type="spellStart"/>
            <w:r w:rsidRPr="00000A07">
              <w:rPr>
                <w:rFonts w:asciiTheme="minorHAnsi" w:hAnsiTheme="minorHAnsi" w:cstheme="minorHAnsi"/>
                <w:sz w:val="18"/>
                <w:szCs w:val="18"/>
              </w:rPr>
              <w:t>db</w:t>
            </w:r>
            <w:proofErr w:type="spellEnd"/>
            <w:r w:rsidRPr="00000A07">
              <w:rPr>
                <w:rFonts w:asciiTheme="minorHAnsi" w:hAnsiTheme="minorHAnsi" w:cstheme="minorHAnsi"/>
                <w:sz w:val="18"/>
                <w:szCs w:val="18"/>
              </w:rPr>
              <w:t xml:space="preserve"> zákona č. 48/1997 Sb.</w:t>
            </w:r>
          </w:p>
          <w:p w14:paraId="1CC64E3D" w14:textId="2EEB4721" w:rsidR="004C0F88" w:rsidRPr="00000A07" w:rsidRDefault="004C0F88" w:rsidP="004C0F88">
            <w:pPr>
              <w:pStyle w:val="TableParagraph"/>
              <w:spacing w:before="0"/>
              <w:ind w:right="10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</w:t>
            </w:r>
            <w:r w:rsidRPr="00000A0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 </w:t>
            </w:r>
            <w:r w:rsidRPr="00000A07">
              <w:rPr>
                <w:rFonts w:asciiTheme="minorHAnsi" w:hAnsiTheme="minorHAnsi" w:cstheme="minorHAnsi"/>
                <w:sz w:val="18"/>
                <w:szCs w:val="18"/>
              </w:rPr>
              <w:t xml:space="preserve">– rozhodnutí o úhradě LP obsahujícího léčivou látku dle § 39 </w:t>
            </w:r>
            <w:proofErr w:type="spellStart"/>
            <w:r w:rsidRPr="00000A07">
              <w:rPr>
                <w:rFonts w:asciiTheme="minorHAnsi" w:hAnsiTheme="minorHAnsi" w:cstheme="minorHAnsi"/>
                <w:sz w:val="18"/>
                <w:szCs w:val="18"/>
              </w:rPr>
              <w:t>db</w:t>
            </w:r>
            <w:proofErr w:type="spellEnd"/>
            <w:r w:rsidRPr="00000A07">
              <w:rPr>
                <w:rFonts w:asciiTheme="minorHAnsi" w:hAnsiTheme="minorHAnsi" w:cstheme="minorHAnsi"/>
                <w:sz w:val="18"/>
                <w:szCs w:val="18"/>
              </w:rPr>
              <w:t xml:space="preserve"> zákona č. 48/1997 Sb.</w:t>
            </w:r>
            <w:r w:rsidRPr="00000A07">
              <w:t xml:space="preserve"> </w:t>
            </w:r>
            <w:r w:rsidRPr="00000A07">
              <w:rPr>
                <w:rFonts w:asciiTheme="minorHAnsi" w:hAnsiTheme="minorHAnsi" w:cstheme="minorHAnsi"/>
                <w:sz w:val="18"/>
                <w:szCs w:val="18"/>
              </w:rPr>
              <w:t xml:space="preserve">dosud nenabylo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Pr="00000A07">
              <w:rPr>
                <w:rFonts w:asciiTheme="minorHAnsi" w:hAnsiTheme="minorHAnsi" w:cstheme="minorHAnsi"/>
                <w:sz w:val="18"/>
                <w:szCs w:val="18"/>
              </w:rPr>
              <w:t>právní moci a je předběžně vykonatelné</w:t>
            </w:r>
          </w:p>
          <w:p w14:paraId="55725954" w14:textId="77777777" w:rsidR="006D4114" w:rsidRPr="00040235" w:rsidRDefault="00ED12AE">
            <w:pPr>
              <w:pStyle w:val="TableParagraph"/>
              <w:spacing w:before="0"/>
              <w:ind w:left="316" w:right="293"/>
              <w:rPr>
                <w:sz w:val="18"/>
              </w:rPr>
            </w:pPr>
            <w:r w:rsidRPr="00040235">
              <w:rPr>
                <w:b/>
                <w:sz w:val="18"/>
              </w:rPr>
              <w:t xml:space="preserve">R </w:t>
            </w:r>
            <w:r w:rsidRPr="00040235">
              <w:rPr>
                <w:sz w:val="18"/>
              </w:rPr>
              <w:t xml:space="preserve">– léčivé přípravky uvolněné ze systému rezervních zásob podle § 77g zákona o léčivech (navýšení UHR o zvláštní obchodní přirážku stanovenou cenovým předpisem v souladu s § 39h odst. 1 zákona č. 48/1997 Sb.) </w:t>
            </w:r>
            <w:r w:rsidRPr="00040235">
              <w:rPr>
                <w:b/>
                <w:sz w:val="18"/>
              </w:rPr>
              <w:t xml:space="preserve">T </w:t>
            </w:r>
            <w:r w:rsidRPr="00040235">
              <w:rPr>
                <w:sz w:val="18"/>
              </w:rPr>
              <w:t>– trvalá úhrada vysoce inovativního léčivého přípravku dle § 39d odst. 4 zákona č. 48/1997 Sb., ve znění účinném do 31.12.2021</w:t>
            </w:r>
          </w:p>
          <w:p w14:paraId="23F7AB34" w14:textId="4DE27B21" w:rsidR="006D4114" w:rsidRDefault="00ED12AE">
            <w:pPr>
              <w:pStyle w:val="TableParagraph"/>
              <w:ind w:left="316" w:right="164"/>
              <w:rPr>
                <w:sz w:val="18"/>
              </w:rPr>
            </w:pPr>
            <w:r w:rsidRPr="00040235">
              <w:rPr>
                <w:b/>
                <w:sz w:val="18"/>
              </w:rPr>
              <w:t xml:space="preserve">Y </w:t>
            </w:r>
            <w:r w:rsidRPr="00040235">
              <w:rPr>
                <w:sz w:val="18"/>
              </w:rPr>
              <w:t>– rozhodnutí o výši a podmínkách trvalé úhrady vysoce inovativního léčivého přípravku stanovené dle § 39d odst. 4 zákona č. 48/1997 Sb., ve znění účinném do 31.12.2021 dosud nenabylo právní moci a je předběžně</w:t>
            </w:r>
            <w:r w:rsidR="000E7ECF">
              <w:rPr>
                <w:sz w:val="18"/>
              </w:rPr>
              <w:t xml:space="preserve"> vykonatelné</w:t>
            </w:r>
          </w:p>
          <w:p w14:paraId="3BE035F2" w14:textId="60610166" w:rsidR="000E7ECF" w:rsidRPr="000E7ECF" w:rsidRDefault="000E7ECF" w:rsidP="000E7ECF">
            <w:pPr>
              <w:pStyle w:val="Default"/>
              <w:ind w:left="316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X</w:t>
            </w:r>
            <w:r w:rsidRPr="000E7ECF">
              <w:rPr>
                <w:sz w:val="18"/>
              </w:rPr>
              <w:t xml:space="preserve"> – rozhodnutí</w:t>
            </w:r>
            <w:r w:rsidRPr="000E7ECF">
              <w:rPr>
                <w:sz w:val="18"/>
                <w:szCs w:val="18"/>
              </w:rPr>
              <w:t xml:space="preserve"> o výši a podmínkách úhrady dosud nenabylo právní moci a je předběžně vykonatelné </w:t>
            </w:r>
          </w:p>
          <w:p w14:paraId="69F5D56C" w14:textId="02FA213F" w:rsidR="000E7ECF" w:rsidRPr="000E7ECF" w:rsidRDefault="000E7ECF" w:rsidP="000E7ECF">
            <w:pPr>
              <w:pStyle w:val="TableParagraph"/>
              <w:ind w:left="316" w:right="164"/>
              <w:rPr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 </w:t>
            </w:r>
            <w:r w:rsidRPr="000E7ECF">
              <w:rPr>
                <w:sz w:val="18"/>
                <w:szCs w:val="18"/>
              </w:rPr>
              <w:t xml:space="preserve">– další zvýšená úhrada stanovená dle § 39b odst. 11 zákona č. 48/1997 Sb. </w:t>
            </w:r>
          </w:p>
          <w:p w14:paraId="0AA7F4A7" w14:textId="77777777" w:rsidR="000E7ECF" w:rsidRDefault="000E7ECF">
            <w:pPr>
              <w:pStyle w:val="TableParagraph"/>
              <w:ind w:left="316" w:right="164"/>
              <w:rPr>
                <w:sz w:val="18"/>
              </w:rPr>
            </w:pPr>
          </w:p>
          <w:p w14:paraId="25DF96AD" w14:textId="77777777" w:rsidR="000E7ECF" w:rsidRPr="00040235" w:rsidRDefault="000E7ECF" w:rsidP="000E7ECF">
            <w:pPr>
              <w:pStyle w:val="TableParagraph"/>
              <w:ind w:left="0" w:right="164"/>
              <w:rPr>
                <w:sz w:val="18"/>
              </w:rPr>
            </w:pPr>
          </w:p>
        </w:tc>
      </w:tr>
      <w:tr w:rsidR="006D4114" w:rsidRPr="00040235" w14:paraId="50E8CF52" w14:textId="77777777" w:rsidTr="004C0F88">
        <w:trPr>
          <w:trHeight w:hRule="exact" w:val="454"/>
        </w:trPr>
        <w:tc>
          <w:tcPr>
            <w:tcW w:w="430" w:type="dxa"/>
          </w:tcPr>
          <w:p w14:paraId="6FCC9E0D" w14:textId="5073C0E7" w:rsidR="006D4114" w:rsidRPr="00040235" w:rsidRDefault="004C0F8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</w:p>
        </w:tc>
        <w:tc>
          <w:tcPr>
            <w:tcW w:w="540" w:type="dxa"/>
          </w:tcPr>
          <w:p w14:paraId="17D83DBB" w14:textId="77777777" w:rsidR="006D4114" w:rsidRPr="00040235" w:rsidRDefault="00ED12AE" w:rsidP="004C0F88">
            <w:pPr>
              <w:pStyle w:val="TableParagraph"/>
              <w:ind w:left="720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5DC4DCB7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ODKAZ_JUHRX</w:t>
            </w:r>
          </w:p>
        </w:tc>
        <w:tc>
          <w:tcPr>
            <w:tcW w:w="550" w:type="dxa"/>
          </w:tcPr>
          <w:p w14:paraId="645431A5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C</w:t>
            </w:r>
          </w:p>
        </w:tc>
        <w:tc>
          <w:tcPr>
            <w:tcW w:w="811" w:type="dxa"/>
          </w:tcPr>
          <w:p w14:paraId="0D0166A1" w14:textId="77777777" w:rsidR="006D4114" w:rsidRPr="00040235" w:rsidRDefault="00ED12AE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20</w:t>
            </w:r>
          </w:p>
        </w:tc>
        <w:tc>
          <w:tcPr>
            <w:tcW w:w="2429" w:type="dxa"/>
          </w:tcPr>
          <w:p w14:paraId="09CAE03F" w14:textId="77777777" w:rsidR="006D4114" w:rsidRPr="00040235" w:rsidRDefault="00ED12AE">
            <w:pPr>
              <w:pStyle w:val="TableParagraph"/>
              <w:ind w:right="370"/>
              <w:rPr>
                <w:sz w:val="18"/>
              </w:rPr>
            </w:pPr>
            <w:r w:rsidRPr="00040235">
              <w:rPr>
                <w:sz w:val="18"/>
              </w:rPr>
              <w:t>odůvodnění stanovení X-té úhrady</w:t>
            </w:r>
          </w:p>
        </w:tc>
        <w:tc>
          <w:tcPr>
            <w:tcW w:w="8504" w:type="dxa"/>
          </w:tcPr>
          <w:p w14:paraId="47097560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Obsahuje spisovou značku správního řízení SÚKL</w:t>
            </w:r>
          </w:p>
        </w:tc>
      </w:tr>
      <w:tr w:rsidR="006D4114" w:rsidRPr="00040235" w14:paraId="7A4952C0" w14:textId="77777777" w:rsidTr="004C0F88">
        <w:trPr>
          <w:trHeight w:hRule="exact" w:val="567"/>
        </w:trPr>
        <w:tc>
          <w:tcPr>
            <w:tcW w:w="430" w:type="dxa"/>
          </w:tcPr>
          <w:p w14:paraId="0E6668C4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9</w:t>
            </w:r>
          </w:p>
        </w:tc>
        <w:tc>
          <w:tcPr>
            <w:tcW w:w="540" w:type="dxa"/>
          </w:tcPr>
          <w:p w14:paraId="09CDD0DE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37D287D3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LIMX</w:t>
            </w:r>
          </w:p>
        </w:tc>
        <w:tc>
          <w:tcPr>
            <w:tcW w:w="550" w:type="dxa"/>
          </w:tcPr>
          <w:p w14:paraId="22B185D1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C</w:t>
            </w:r>
          </w:p>
        </w:tc>
        <w:tc>
          <w:tcPr>
            <w:tcW w:w="811" w:type="dxa"/>
          </w:tcPr>
          <w:p w14:paraId="0F676671" w14:textId="77777777" w:rsidR="006D4114" w:rsidRPr="00040235" w:rsidRDefault="00ED12AE">
            <w:pPr>
              <w:pStyle w:val="TableParagraph"/>
              <w:spacing w:before="4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2</w:t>
            </w:r>
          </w:p>
        </w:tc>
        <w:tc>
          <w:tcPr>
            <w:tcW w:w="2429" w:type="dxa"/>
          </w:tcPr>
          <w:p w14:paraId="0CD1A36B" w14:textId="77777777" w:rsidR="006D4114" w:rsidRPr="00040235" w:rsidRDefault="00ED12AE">
            <w:pPr>
              <w:pStyle w:val="TableParagraph"/>
              <w:spacing w:before="4"/>
              <w:rPr>
                <w:sz w:val="18"/>
              </w:rPr>
            </w:pPr>
            <w:r w:rsidRPr="00040235">
              <w:rPr>
                <w:sz w:val="18"/>
              </w:rPr>
              <w:t>vykazovací limit X-té úhrady</w:t>
            </w:r>
          </w:p>
        </w:tc>
        <w:tc>
          <w:tcPr>
            <w:tcW w:w="8504" w:type="dxa"/>
          </w:tcPr>
          <w:p w14:paraId="6176F358" w14:textId="77777777" w:rsidR="006D4114" w:rsidRPr="00040235" w:rsidRDefault="00ED12AE">
            <w:pPr>
              <w:pStyle w:val="TableParagraph"/>
              <w:spacing w:before="6" w:line="219" w:lineRule="exact"/>
              <w:rPr>
                <w:sz w:val="18"/>
              </w:rPr>
            </w:pPr>
            <w:r w:rsidRPr="00040235">
              <w:rPr>
                <w:sz w:val="18"/>
              </w:rPr>
              <w:t>Způsob vykazování X-té úhrady LP/PZLÚ zdravotní pojišťovně.</w:t>
            </w:r>
          </w:p>
          <w:p w14:paraId="0DF7C14B" w14:textId="77777777" w:rsidR="006D4114" w:rsidRDefault="00ED12AE">
            <w:pPr>
              <w:pStyle w:val="TableParagraph"/>
              <w:spacing w:before="0" w:line="219" w:lineRule="exact"/>
              <w:rPr>
                <w:b/>
                <w:sz w:val="18"/>
              </w:rPr>
            </w:pPr>
            <w:r w:rsidRPr="00040235">
              <w:rPr>
                <w:b/>
                <w:sz w:val="18"/>
              </w:rPr>
              <w:t>K poli LIMX je k dispozici společný pomocný číselník stavových hodnot LIM.</w:t>
            </w:r>
          </w:p>
          <w:p w14:paraId="2B626F01" w14:textId="77777777" w:rsidR="00F31E25" w:rsidRPr="00F31E25" w:rsidRDefault="00F31E25" w:rsidP="00ED12AE">
            <w:pPr>
              <w:ind w:firstLine="720"/>
            </w:pPr>
          </w:p>
        </w:tc>
      </w:tr>
      <w:tr w:rsidR="006D4114" w:rsidRPr="00040235" w14:paraId="18623B2E" w14:textId="77777777" w:rsidTr="004C0F88">
        <w:trPr>
          <w:trHeight w:hRule="exact" w:val="737"/>
        </w:trPr>
        <w:tc>
          <w:tcPr>
            <w:tcW w:w="430" w:type="dxa"/>
          </w:tcPr>
          <w:p w14:paraId="69F88456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10</w:t>
            </w:r>
          </w:p>
        </w:tc>
        <w:tc>
          <w:tcPr>
            <w:tcW w:w="540" w:type="dxa"/>
          </w:tcPr>
          <w:p w14:paraId="7DF9C95B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72AE9A65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OMEX</w:t>
            </w:r>
          </w:p>
        </w:tc>
        <w:tc>
          <w:tcPr>
            <w:tcW w:w="550" w:type="dxa"/>
          </w:tcPr>
          <w:p w14:paraId="2F661C17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C</w:t>
            </w:r>
          </w:p>
        </w:tc>
        <w:tc>
          <w:tcPr>
            <w:tcW w:w="811" w:type="dxa"/>
          </w:tcPr>
          <w:p w14:paraId="7B505A85" w14:textId="77777777" w:rsidR="006D4114" w:rsidRPr="00040235" w:rsidRDefault="00ED12AE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40</w:t>
            </w:r>
          </w:p>
        </w:tc>
        <w:tc>
          <w:tcPr>
            <w:tcW w:w="2429" w:type="dxa"/>
          </w:tcPr>
          <w:p w14:paraId="54AD9B0C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specializace předepisujícího lékaře</w:t>
            </w:r>
          </w:p>
        </w:tc>
        <w:tc>
          <w:tcPr>
            <w:tcW w:w="8504" w:type="dxa"/>
          </w:tcPr>
          <w:p w14:paraId="23220995" w14:textId="77777777" w:rsidR="006D4114" w:rsidRPr="00040235" w:rsidRDefault="00ED12AE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Specifikace preskripčního omezení, pro X-tou úhradu LP/PZLÚ, založená na specializaci předepisujícího lékaře. Pro jeden kód LP/PZLÚ může současně nabývat více hodnot OME.</w:t>
            </w:r>
          </w:p>
          <w:p w14:paraId="6BD65405" w14:textId="6C4918AE" w:rsidR="006D4114" w:rsidRPr="00040235" w:rsidRDefault="00ED12AE" w:rsidP="00040235">
            <w:pPr>
              <w:pStyle w:val="TableParagraph"/>
              <w:tabs>
                <w:tab w:val="left" w:pos="7534"/>
              </w:tabs>
              <w:spacing w:before="0"/>
              <w:rPr>
                <w:b/>
                <w:sz w:val="18"/>
              </w:rPr>
            </w:pPr>
            <w:r w:rsidRPr="00040235">
              <w:rPr>
                <w:b/>
                <w:sz w:val="18"/>
              </w:rPr>
              <w:t>K poli OMEX je k dispozici společný pomocný číselník stavových hodnot OME.</w:t>
            </w:r>
            <w:r w:rsidR="00040235" w:rsidRPr="00040235">
              <w:rPr>
                <w:b/>
                <w:sz w:val="18"/>
              </w:rPr>
              <w:tab/>
            </w:r>
          </w:p>
        </w:tc>
      </w:tr>
      <w:tr w:rsidR="004C0F88" w:rsidRPr="00040235" w14:paraId="7B492194" w14:textId="77777777" w:rsidTr="004C0F88">
        <w:trPr>
          <w:trHeight w:hRule="exact" w:val="340"/>
        </w:trPr>
        <w:tc>
          <w:tcPr>
            <w:tcW w:w="430" w:type="dxa"/>
          </w:tcPr>
          <w:p w14:paraId="53E29019" w14:textId="4CAD3B4B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b/>
                <w:sz w:val="18"/>
              </w:rPr>
              <w:lastRenderedPageBreak/>
              <w:t>č.</w:t>
            </w:r>
          </w:p>
        </w:tc>
        <w:tc>
          <w:tcPr>
            <w:tcW w:w="540" w:type="dxa"/>
          </w:tcPr>
          <w:p w14:paraId="35BEF0F0" w14:textId="2CC88350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b/>
                <w:sz w:val="18"/>
              </w:rPr>
              <w:t>P/N</w:t>
            </w:r>
          </w:p>
        </w:tc>
        <w:tc>
          <w:tcPr>
            <w:tcW w:w="1611" w:type="dxa"/>
          </w:tcPr>
          <w:p w14:paraId="792E0991" w14:textId="23627073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b/>
                <w:sz w:val="18"/>
              </w:rPr>
              <w:t>Označení</w:t>
            </w:r>
          </w:p>
        </w:tc>
        <w:tc>
          <w:tcPr>
            <w:tcW w:w="550" w:type="dxa"/>
          </w:tcPr>
          <w:p w14:paraId="7631EC78" w14:textId="1280C432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b/>
                <w:sz w:val="18"/>
              </w:rPr>
              <w:t>Typ</w:t>
            </w:r>
          </w:p>
        </w:tc>
        <w:tc>
          <w:tcPr>
            <w:tcW w:w="811" w:type="dxa"/>
          </w:tcPr>
          <w:p w14:paraId="7449ADE7" w14:textId="70F37286" w:rsidR="004C0F88" w:rsidRPr="00040235" w:rsidRDefault="004C0F88" w:rsidP="004C0F88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b/>
                <w:sz w:val="18"/>
              </w:rPr>
              <w:t>Velikost</w:t>
            </w:r>
          </w:p>
        </w:tc>
        <w:tc>
          <w:tcPr>
            <w:tcW w:w="2429" w:type="dxa"/>
          </w:tcPr>
          <w:p w14:paraId="49A16FED" w14:textId="467D8002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b/>
                <w:sz w:val="18"/>
              </w:rPr>
              <w:t>Název</w:t>
            </w:r>
          </w:p>
        </w:tc>
        <w:tc>
          <w:tcPr>
            <w:tcW w:w="8504" w:type="dxa"/>
          </w:tcPr>
          <w:p w14:paraId="514FBE6C" w14:textId="57A493FB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b/>
                <w:sz w:val="18"/>
              </w:rPr>
              <w:t>Popis</w:t>
            </w:r>
          </w:p>
        </w:tc>
      </w:tr>
      <w:tr w:rsidR="004C0F88" w:rsidRPr="00040235" w14:paraId="60FFFDC1" w14:textId="77777777" w:rsidTr="004C0F88">
        <w:trPr>
          <w:trHeight w:hRule="exact" w:val="964"/>
        </w:trPr>
        <w:tc>
          <w:tcPr>
            <w:tcW w:w="430" w:type="dxa"/>
          </w:tcPr>
          <w:p w14:paraId="60C46B96" w14:textId="026E1319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11</w:t>
            </w:r>
          </w:p>
        </w:tc>
        <w:tc>
          <w:tcPr>
            <w:tcW w:w="540" w:type="dxa"/>
          </w:tcPr>
          <w:p w14:paraId="6A6043E3" w14:textId="53DF549D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0A1958F9" w14:textId="39BDDD29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INDX</w:t>
            </w:r>
          </w:p>
        </w:tc>
        <w:tc>
          <w:tcPr>
            <w:tcW w:w="550" w:type="dxa"/>
          </w:tcPr>
          <w:p w14:paraId="09770574" w14:textId="43DA3B5F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C</w:t>
            </w:r>
          </w:p>
        </w:tc>
        <w:tc>
          <w:tcPr>
            <w:tcW w:w="811" w:type="dxa"/>
          </w:tcPr>
          <w:p w14:paraId="3618E113" w14:textId="26247E4F" w:rsidR="004C0F88" w:rsidRPr="00040235" w:rsidRDefault="004C0F88" w:rsidP="004C0F88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1</w:t>
            </w:r>
          </w:p>
        </w:tc>
        <w:tc>
          <w:tcPr>
            <w:tcW w:w="2429" w:type="dxa"/>
          </w:tcPr>
          <w:p w14:paraId="737F56A3" w14:textId="610E6B86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příznak indikačního omezení</w:t>
            </w:r>
          </w:p>
        </w:tc>
        <w:tc>
          <w:tcPr>
            <w:tcW w:w="8504" w:type="dxa"/>
          </w:tcPr>
          <w:p w14:paraId="772BA904" w14:textId="013FD0D2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 xml:space="preserve">Indikační omezení (P) pro X-tou úhradu LP/PZLÚ. </w:t>
            </w:r>
            <w:r w:rsidRPr="00040235">
              <w:rPr>
                <w:b/>
                <w:sz w:val="18"/>
              </w:rPr>
              <w:t xml:space="preserve">Pro detail indikačního omezení (indikace nebo klinický stav, kterým je podmíněna X-tá úhrada LP/PZLÚ) je k dispozici pomocný číselník DETINDX </w:t>
            </w:r>
            <w:r w:rsidRPr="00040235">
              <w:rPr>
                <w:sz w:val="18"/>
              </w:rPr>
              <w:t>(X = pořadové číslo úhrady od úrovně 4 a výše). V případě léčivých přípravků hrazených ex lege dle § 30 odst. 2 zákona č. 48/1997 Sb., je uvedena citace příslušného ustanovení zákona.</w:t>
            </w:r>
          </w:p>
        </w:tc>
      </w:tr>
      <w:tr w:rsidR="004C0F88" w:rsidRPr="00040235" w14:paraId="029ED16E" w14:textId="77777777" w:rsidTr="004C0F88">
        <w:trPr>
          <w:trHeight w:hRule="exact" w:val="964"/>
        </w:trPr>
        <w:tc>
          <w:tcPr>
            <w:tcW w:w="430" w:type="dxa"/>
          </w:tcPr>
          <w:p w14:paraId="634AFD52" w14:textId="083AB34D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12</w:t>
            </w:r>
          </w:p>
        </w:tc>
        <w:tc>
          <w:tcPr>
            <w:tcW w:w="540" w:type="dxa"/>
          </w:tcPr>
          <w:p w14:paraId="4EE50D01" w14:textId="4EFD4E7D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4430B8FA" w14:textId="66B8FB9E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PUHRX</w:t>
            </w:r>
          </w:p>
        </w:tc>
        <w:tc>
          <w:tcPr>
            <w:tcW w:w="550" w:type="dxa"/>
          </w:tcPr>
          <w:p w14:paraId="1C3531F4" w14:textId="6199DBA0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C</w:t>
            </w:r>
          </w:p>
        </w:tc>
        <w:tc>
          <w:tcPr>
            <w:tcW w:w="811" w:type="dxa"/>
          </w:tcPr>
          <w:p w14:paraId="3FCA1D08" w14:textId="668B734C" w:rsidR="004C0F88" w:rsidRPr="00040235" w:rsidRDefault="004C0F88" w:rsidP="004C0F88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1</w:t>
            </w:r>
          </w:p>
        </w:tc>
        <w:tc>
          <w:tcPr>
            <w:tcW w:w="2429" w:type="dxa"/>
          </w:tcPr>
          <w:p w14:paraId="47C88902" w14:textId="0ED31336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příznak plné úhrady</w:t>
            </w:r>
          </w:p>
        </w:tc>
        <w:tc>
          <w:tcPr>
            <w:tcW w:w="8504" w:type="dxa"/>
          </w:tcPr>
          <w:p w14:paraId="5294C7F9" w14:textId="77777777" w:rsidR="004C0F88" w:rsidRPr="00040235" w:rsidRDefault="004C0F88" w:rsidP="004C0F88">
            <w:pPr>
              <w:pStyle w:val="TableParagraph"/>
              <w:spacing w:before="6" w:line="218" w:lineRule="exact"/>
              <w:rPr>
                <w:sz w:val="18"/>
              </w:rPr>
            </w:pPr>
            <w:r w:rsidRPr="00040235">
              <w:rPr>
                <w:sz w:val="18"/>
              </w:rPr>
              <w:t>Příznak plné úhrady nabývá hodnot:</w:t>
            </w:r>
          </w:p>
          <w:p w14:paraId="1448E1CB" w14:textId="77777777" w:rsidR="004C0F88" w:rsidRPr="00040235" w:rsidRDefault="004C0F88" w:rsidP="004C0F88">
            <w:pPr>
              <w:pStyle w:val="TableParagraph"/>
              <w:spacing w:before="0" w:line="237" w:lineRule="auto"/>
              <w:ind w:left="316" w:right="247"/>
              <w:rPr>
                <w:sz w:val="18"/>
              </w:rPr>
            </w:pPr>
            <w:r w:rsidRPr="00040235">
              <w:rPr>
                <w:b/>
                <w:sz w:val="18"/>
              </w:rPr>
              <w:t xml:space="preserve">J </w:t>
            </w:r>
            <w:r w:rsidRPr="00040235">
              <w:rPr>
                <w:sz w:val="18"/>
              </w:rPr>
              <w:t>– pro LP, které jsou plně hrazené v případě, že MFC &lt;= UHRX. Upozornění: Doprodeje dle cenového předpisu Ministerstva zdravotnictví ČR nejsou zohledněny.</w:t>
            </w:r>
          </w:p>
          <w:p w14:paraId="733CE80B" w14:textId="7DD70409" w:rsidR="004C0F88" w:rsidRPr="00040235" w:rsidRDefault="004C0F88" w:rsidP="004C0F88">
            <w:pPr>
              <w:pStyle w:val="TableParagraph"/>
              <w:ind w:left="316"/>
              <w:rPr>
                <w:sz w:val="18"/>
              </w:rPr>
            </w:pPr>
            <w:r w:rsidRPr="00040235">
              <w:rPr>
                <w:b/>
                <w:sz w:val="18"/>
              </w:rPr>
              <w:t xml:space="preserve">U </w:t>
            </w:r>
            <w:r w:rsidRPr="00040235">
              <w:rPr>
                <w:sz w:val="18"/>
              </w:rPr>
              <w:t>– LP plně hrazený na základě dohody o úhradě dle §39c odst. 2 písm. d) zákona č. 48/1997 Sb.</w:t>
            </w:r>
          </w:p>
        </w:tc>
      </w:tr>
      <w:tr w:rsidR="004C0F88" w:rsidRPr="00040235" w14:paraId="5C672E79" w14:textId="77777777" w:rsidTr="004C0F88">
        <w:trPr>
          <w:trHeight w:hRule="exact" w:val="1191"/>
        </w:trPr>
        <w:tc>
          <w:tcPr>
            <w:tcW w:w="430" w:type="dxa"/>
          </w:tcPr>
          <w:p w14:paraId="189AA51E" w14:textId="3CC2C5E8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13</w:t>
            </w:r>
          </w:p>
        </w:tc>
        <w:tc>
          <w:tcPr>
            <w:tcW w:w="540" w:type="dxa"/>
          </w:tcPr>
          <w:p w14:paraId="7FBD2AA3" w14:textId="172F19D8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1719BF01" w14:textId="04FF2EAB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JUHRX_PLATDO</w:t>
            </w:r>
          </w:p>
        </w:tc>
        <w:tc>
          <w:tcPr>
            <w:tcW w:w="550" w:type="dxa"/>
          </w:tcPr>
          <w:p w14:paraId="51C152B8" w14:textId="4CADF644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D</w:t>
            </w:r>
          </w:p>
        </w:tc>
        <w:tc>
          <w:tcPr>
            <w:tcW w:w="811" w:type="dxa"/>
          </w:tcPr>
          <w:p w14:paraId="008F3005" w14:textId="48CD659F" w:rsidR="004C0F88" w:rsidRPr="00040235" w:rsidRDefault="004C0F88" w:rsidP="004C0F88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8</w:t>
            </w:r>
          </w:p>
        </w:tc>
        <w:tc>
          <w:tcPr>
            <w:tcW w:w="2429" w:type="dxa"/>
          </w:tcPr>
          <w:p w14:paraId="1031D4C2" w14:textId="0AC05337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platnost X-té úhrady do</w:t>
            </w:r>
          </w:p>
        </w:tc>
        <w:tc>
          <w:tcPr>
            <w:tcW w:w="8504" w:type="dxa"/>
          </w:tcPr>
          <w:p w14:paraId="0F451F47" w14:textId="77777777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Dočasná úhrada je stanovována na 24 resp. 12 měsíců dle § 39d zákona č. 48/1997 Sb. ve znění účinném do 31.12.2021 nebo na 36 resp. 24 měsíců dle § 39d zákona č. 48/1997 Sb. ve znění účinném od 1.1.2022. V poli je vyplněno datum, do kterého je dočasná úhrada platná, přičemž je zároveň zohledněno zkrácení platnosti dočasné úhrady po uplynutí 6 měsíců po nabytí právní moci rozhodnutí o zrušení dočasné úhrady dle § 39d zákona č.</w:t>
            </w:r>
          </w:p>
          <w:p w14:paraId="62BBDF02" w14:textId="69CDA668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48/1997 Sb. ve znění účinném od 1.1.2022.</w:t>
            </w:r>
          </w:p>
        </w:tc>
      </w:tr>
      <w:tr w:rsidR="004C0F88" w:rsidRPr="00040235" w14:paraId="05F43A1F" w14:textId="77777777" w:rsidTr="004C0F88">
        <w:trPr>
          <w:trHeight w:hRule="exact" w:val="567"/>
        </w:trPr>
        <w:tc>
          <w:tcPr>
            <w:tcW w:w="430" w:type="dxa"/>
          </w:tcPr>
          <w:p w14:paraId="021A25BF" w14:textId="1175C5CA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14</w:t>
            </w:r>
          </w:p>
        </w:tc>
        <w:tc>
          <w:tcPr>
            <w:tcW w:w="540" w:type="dxa"/>
          </w:tcPr>
          <w:p w14:paraId="4026BCAB" w14:textId="6E31A056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2920D360" w14:textId="00E0E7CD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ODTDX</w:t>
            </w:r>
          </w:p>
        </w:tc>
        <w:tc>
          <w:tcPr>
            <w:tcW w:w="550" w:type="dxa"/>
          </w:tcPr>
          <w:p w14:paraId="6B59DFE4" w14:textId="4F294DF5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811" w:type="dxa"/>
          </w:tcPr>
          <w:p w14:paraId="71EF1BBF" w14:textId="7EA08977" w:rsidR="004C0F88" w:rsidRPr="00040235" w:rsidRDefault="004C0F88" w:rsidP="004C0F88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13,4</w:t>
            </w:r>
          </w:p>
        </w:tc>
        <w:tc>
          <w:tcPr>
            <w:tcW w:w="2429" w:type="dxa"/>
          </w:tcPr>
          <w:p w14:paraId="7D085A35" w14:textId="6FC6A140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obvyklá denní terapeutická dávka pro X-tou úhradu</w:t>
            </w:r>
          </w:p>
        </w:tc>
        <w:tc>
          <w:tcPr>
            <w:tcW w:w="8504" w:type="dxa"/>
          </w:tcPr>
          <w:p w14:paraId="44798BC7" w14:textId="3224FA61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Obvyklá denní terapeutická dávka pro X-tou úhradu</w:t>
            </w:r>
          </w:p>
        </w:tc>
      </w:tr>
      <w:tr w:rsidR="004C0F88" w:rsidRPr="00040235" w14:paraId="6DD75F1A" w14:textId="77777777" w:rsidTr="004C0F88">
        <w:trPr>
          <w:trHeight w:hRule="exact" w:val="567"/>
        </w:trPr>
        <w:tc>
          <w:tcPr>
            <w:tcW w:w="430" w:type="dxa"/>
          </w:tcPr>
          <w:p w14:paraId="59B06C93" w14:textId="4FA624E4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15</w:t>
            </w:r>
          </w:p>
        </w:tc>
        <w:tc>
          <w:tcPr>
            <w:tcW w:w="540" w:type="dxa"/>
          </w:tcPr>
          <w:p w14:paraId="60422ABA" w14:textId="33E22DDF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656E0DEA" w14:textId="0706A533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ODTDJX</w:t>
            </w:r>
          </w:p>
        </w:tc>
        <w:tc>
          <w:tcPr>
            <w:tcW w:w="550" w:type="dxa"/>
          </w:tcPr>
          <w:p w14:paraId="4A18BCDF" w14:textId="24FC3932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C</w:t>
            </w:r>
          </w:p>
        </w:tc>
        <w:tc>
          <w:tcPr>
            <w:tcW w:w="811" w:type="dxa"/>
          </w:tcPr>
          <w:p w14:paraId="3212A24F" w14:textId="7B2AF852" w:rsidR="004C0F88" w:rsidRPr="00040235" w:rsidRDefault="004C0F88" w:rsidP="004C0F88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5</w:t>
            </w:r>
          </w:p>
        </w:tc>
        <w:tc>
          <w:tcPr>
            <w:tcW w:w="2429" w:type="dxa"/>
          </w:tcPr>
          <w:p w14:paraId="3A8554BB" w14:textId="77777777" w:rsidR="004C0F88" w:rsidRPr="00040235" w:rsidRDefault="004C0F88" w:rsidP="004C0F88">
            <w:pPr>
              <w:pStyle w:val="TableParagraph"/>
              <w:spacing w:before="6" w:line="219" w:lineRule="exact"/>
              <w:rPr>
                <w:sz w:val="18"/>
              </w:rPr>
            </w:pPr>
            <w:r w:rsidRPr="00040235">
              <w:rPr>
                <w:sz w:val="18"/>
              </w:rPr>
              <w:t>jednotka množství léčivé látky</w:t>
            </w:r>
          </w:p>
          <w:p w14:paraId="0FE98EBD" w14:textId="281055FD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v ODTDX</w:t>
            </w:r>
          </w:p>
        </w:tc>
        <w:tc>
          <w:tcPr>
            <w:tcW w:w="8504" w:type="dxa"/>
          </w:tcPr>
          <w:p w14:paraId="0E159A91" w14:textId="15BF8C67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Obvyklá denní terapeutická dávka pro X-tou úhradu– jednotka pro ODTDX</w:t>
            </w:r>
          </w:p>
        </w:tc>
      </w:tr>
      <w:tr w:rsidR="004C0F88" w:rsidRPr="00040235" w14:paraId="5805CE58" w14:textId="77777777" w:rsidTr="004C0F88">
        <w:trPr>
          <w:trHeight w:hRule="exact" w:val="340"/>
        </w:trPr>
        <w:tc>
          <w:tcPr>
            <w:tcW w:w="430" w:type="dxa"/>
          </w:tcPr>
          <w:p w14:paraId="557FD6B0" w14:textId="7079F573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16</w:t>
            </w:r>
          </w:p>
        </w:tc>
        <w:tc>
          <w:tcPr>
            <w:tcW w:w="540" w:type="dxa"/>
          </w:tcPr>
          <w:p w14:paraId="245C0138" w14:textId="11CA3929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78A78EAB" w14:textId="15FFA174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ODTDBALX</w:t>
            </w:r>
          </w:p>
        </w:tc>
        <w:tc>
          <w:tcPr>
            <w:tcW w:w="550" w:type="dxa"/>
          </w:tcPr>
          <w:p w14:paraId="4F192158" w14:textId="0AE1A487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811" w:type="dxa"/>
          </w:tcPr>
          <w:p w14:paraId="1221041D" w14:textId="0D718A2A" w:rsidR="004C0F88" w:rsidRPr="00040235" w:rsidRDefault="004C0F88" w:rsidP="004C0F88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11,4</w:t>
            </w:r>
          </w:p>
        </w:tc>
        <w:tc>
          <w:tcPr>
            <w:tcW w:w="2429" w:type="dxa"/>
          </w:tcPr>
          <w:p w14:paraId="17A78988" w14:textId="57CE2CCC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počet ODTDX v balení LP</w:t>
            </w:r>
          </w:p>
        </w:tc>
        <w:tc>
          <w:tcPr>
            <w:tcW w:w="8504" w:type="dxa"/>
          </w:tcPr>
          <w:p w14:paraId="1153D457" w14:textId="1B996926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Počet obvyklých terapeutických dávek v balení pro ODTDX.</w:t>
            </w:r>
          </w:p>
        </w:tc>
      </w:tr>
      <w:tr w:rsidR="004C0F88" w:rsidRPr="00040235" w14:paraId="3E141940" w14:textId="77777777" w:rsidTr="004C0F88">
        <w:trPr>
          <w:trHeight w:hRule="exact" w:val="340"/>
        </w:trPr>
        <w:tc>
          <w:tcPr>
            <w:tcW w:w="430" w:type="dxa"/>
          </w:tcPr>
          <w:p w14:paraId="3F7FF311" w14:textId="6763A4E1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17</w:t>
            </w:r>
          </w:p>
        </w:tc>
        <w:tc>
          <w:tcPr>
            <w:tcW w:w="540" w:type="dxa"/>
          </w:tcPr>
          <w:p w14:paraId="2A9CA320" w14:textId="74B92FEA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562AD532" w14:textId="7F701E96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ZU_ODTDX</w:t>
            </w:r>
          </w:p>
        </w:tc>
        <w:tc>
          <w:tcPr>
            <w:tcW w:w="550" w:type="dxa"/>
          </w:tcPr>
          <w:p w14:paraId="4441BF72" w14:textId="0B5266FE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811" w:type="dxa"/>
          </w:tcPr>
          <w:p w14:paraId="295A61EA" w14:textId="7345D38B" w:rsidR="004C0F88" w:rsidRPr="00040235" w:rsidRDefault="004C0F88" w:rsidP="004C0F88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13,4</w:t>
            </w:r>
          </w:p>
        </w:tc>
        <w:tc>
          <w:tcPr>
            <w:tcW w:w="2429" w:type="dxa"/>
          </w:tcPr>
          <w:p w14:paraId="0B6B1E42" w14:textId="58D18151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základní úhrada za ODTDX</w:t>
            </w:r>
          </w:p>
        </w:tc>
        <w:tc>
          <w:tcPr>
            <w:tcW w:w="8504" w:type="dxa"/>
          </w:tcPr>
          <w:p w14:paraId="2774920F" w14:textId="785AEA26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X-tá úhrada LP za ODTDX, je-li SÚKL stanovena podle §39d zákona č. 48/1997 Sb.</w:t>
            </w:r>
          </w:p>
        </w:tc>
      </w:tr>
      <w:tr w:rsidR="004C0F88" w:rsidRPr="00040235" w14:paraId="1FA77F56" w14:textId="77777777" w:rsidTr="004C0F88">
        <w:trPr>
          <w:trHeight w:hRule="exact" w:val="567"/>
        </w:trPr>
        <w:tc>
          <w:tcPr>
            <w:tcW w:w="430" w:type="dxa"/>
          </w:tcPr>
          <w:p w14:paraId="5A63AB09" w14:textId="52D598F5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18</w:t>
            </w:r>
          </w:p>
        </w:tc>
        <w:tc>
          <w:tcPr>
            <w:tcW w:w="540" w:type="dxa"/>
          </w:tcPr>
          <w:p w14:paraId="3CA56A89" w14:textId="6759D13C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30F4E3AF" w14:textId="7BBCC9A7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ODKAZ_ZU_ODTDX</w:t>
            </w:r>
          </w:p>
        </w:tc>
        <w:tc>
          <w:tcPr>
            <w:tcW w:w="550" w:type="dxa"/>
          </w:tcPr>
          <w:p w14:paraId="3DCF8937" w14:textId="14910A3A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C</w:t>
            </w:r>
          </w:p>
        </w:tc>
        <w:tc>
          <w:tcPr>
            <w:tcW w:w="811" w:type="dxa"/>
          </w:tcPr>
          <w:p w14:paraId="5DCFD83F" w14:textId="1B41FE9B" w:rsidR="004C0F88" w:rsidRPr="00040235" w:rsidRDefault="004C0F88" w:rsidP="004C0F88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20</w:t>
            </w:r>
          </w:p>
        </w:tc>
        <w:tc>
          <w:tcPr>
            <w:tcW w:w="2429" w:type="dxa"/>
          </w:tcPr>
          <w:p w14:paraId="4DD1483D" w14:textId="77777777" w:rsidR="004C0F88" w:rsidRPr="00040235" w:rsidRDefault="004C0F88" w:rsidP="004C0F88">
            <w:pPr>
              <w:pStyle w:val="TableParagraph"/>
              <w:spacing w:before="6" w:line="219" w:lineRule="exact"/>
              <w:rPr>
                <w:sz w:val="18"/>
              </w:rPr>
            </w:pPr>
            <w:r w:rsidRPr="00040235">
              <w:rPr>
                <w:sz w:val="18"/>
              </w:rPr>
              <w:t>odůvodnění stanovení</w:t>
            </w:r>
          </w:p>
          <w:p w14:paraId="09A7DDDA" w14:textId="70CD3462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ZU_ODTDX</w:t>
            </w:r>
          </w:p>
        </w:tc>
        <w:tc>
          <w:tcPr>
            <w:tcW w:w="8504" w:type="dxa"/>
          </w:tcPr>
          <w:p w14:paraId="07F6BC6E" w14:textId="0B5F86D8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Obsahuje spisovou značku správního řízení SÚKL</w:t>
            </w:r>
          </w:p>
        </w:tc>
      </w:tr>
      <w:tr w:rsidR="004C0F88" w:rsidRPr="00040235" w14:paraId="623756F5" w14:textId="77777777" w:rsidTr="004C0F88">
        <w:trPr>
          <w:trHeight w:hRule="exact" w:val="567"/>
        </w:trPr>
        <w:tc>
          <w:tcPr>
            <w:tcW w:w="430" w:type="dxa"/>
          </w:tcPr>
          <w:p w14:paraId="5BBAD641" w14:textId="6AC4CE07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19</w:t>
            </w:r>
          </w:p>
        </w:tc>
        <w:tc>
          <w:tcPr>
            <w:tcW w:w="540" w:type="dxa"/>
          </w:tcPr>
          <w:p w14:paraId="29BA633E" w14:textId="1B20E046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6E7DFD04" w14:textId="5748AF7A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ZAPX</w:t>
            </w:r>
          </w:p>
        </w:tc>
        <w:tc>
          <w:tcPr>
            <w:tcW w:w="550" w:type="dxa"/>
          </w:tcPr>
          <w:p w14:paraId="726064D5" w14:textId="1A80B131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811" w:type="dxa"/>
          </w:tcPr>
          <w:p w14:paraId="77092C3F" w14:textId="561A5E6B" w:rsidR="004C0F88" w:rsidRPr="00040235" w:rsidRDefault="004C0F88" w:rsidP="004C0F88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13,2</w:t>
            </w:r>
          </w:p>
        </w:tc>
        <w:tc>
          <w:tcPr>
            <w:tcW w:w="2429" w:type="dxa"/>
          </w:tcPr>
          <w:p w14:paraId="35F36A3E" w14:textId="4CA522DC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započitatelný doplatek pro X – tou úhradu</w:t>
            </w:r>
          </w:p>
        </w:tc>
        <w:tc>
          <w:tcPr>
            <w:tcW w:w="8504" w:type="dxa"/>
          </w:tcPr>
          <w:p w14:paraId="563FA204" w14:textId="763732A7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Započitatelný doplatek na UHRX podle sdělení MZ ČR, stanovený podle § 16b, odst. 1 zákona č. 48/1997 Sb.</w:t>
            </w:r>
          </w:p>
        </w:tc>
      </w:tr>
      <w:tr w:rsidR="004C0F88" w:rsidRPr="00040235" w14:paraId="7842C02D" w14:textId="77777777" w:rsidTr="004C0F88">
        <w:trPr>
          <w:trHeight w:hRule="exact" w:val="794"/>
        </w:trPr>
        <w:tc>
          <w:tcPr>
            <w:tcW w:w="430" w:type="dxa"/>
          </w:tcPr>
          <w:p w14:paraId="53E948FC" w14:textId="3E9F1D9D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20</w:t>
            </w:r>
          </w:p>
        </w:tc>
        <w:tc>
          <w:tcPr>
            <w:tcW w:w="540" w:type="dxa"/>
          </w:tcPr>
          <w:p w14:paraId="37A1C144" w14:textId="793FEE11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</w:t>
            </w:r>
          </w:p>
        </w:tc>
        <w:tc>
          <w:tcPr>
            <w:tcW w:w="1611" w:type="dxa"/>
          </w:tcPr>
          <w:p w14:paraId="53801FC0" w14:textId="249D00CE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NEZAPX</w:t>
            </w:r>
          </w:p>
        </w:tc>
        <w:tc>
          <w:tcPr>
            <w:tcW w:w="550" w:type="dxa"/>
          </w:tcPr>
          <w:p w14:paraId="754EDE9D" w14:textId="3634B7C7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C</w:t>
            </w:r>
          </w:p>
        </w:tc>
        <w:tc>
          <w:tcPr>
            <w:tcW w:w="811" w:type="dxa"/>
          </w:tcPr>
          <w:p w14:paraId="6DBF3361" w14:textId="1F7B1813" w:rsidR="004C0F88" w:rsidRPr="00040235" w:rsidRDefault="004C0F88" w:rsidP="004C0F88">
            <w:pPr>
              <w:pStyle w:val="TableParagraph"/>
              <w:ind w:left="0" w:right="60"/>
              <w:jc w:val="right"/>
              <w:rPr>
                <w:sz w:val="18"/>
              </w:rPr>
            </w:pPr>
            <w:r w:rsidRPr="00040235">
              <w:rPr>
                <w:sz w:val="18"/>
              </w:rPr>
              <w:t>1</w:t>
            </w:r>
          </w:p>
        </w:tc>
        <w:tc>
          <w:tcPr>
            <w:tcW w:w="2429" w:type="dxa"/>
          </w:tcPr>
          <w:p w14:paraId="50574F04" w14:textId="77777777" w:rsidR="004C0F88" w:rsidRPr="00040235" w:rsidRDefault="004C0F88" w:rsidP="004C0F88">
            <w:pPr>
              <w:pStyle w:val="TableParagraph"/>
              <w:spacing w:before="6" w:line="219" w:lineRule="exact"/>
              <w:rPr>
                <w:sz w:val="18"/>
              </w:rPr>
            </w:pPr>
            <w:r w:rsidRPr="00040235">
              <w:rPr>
                <w:sz w:val="18"/>
              </w:rPr>
              <w:t>symbol započitatelnosti do</w:t>
            </w:r>
          </w:p>
          <w:p w14:paraId="5B23044D" w14:textId="407F3C8C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sz w:val="18"/>
              </w:rPr>
              <w:t>limitu</w:t>
            </w:r>
          </w:p>
        </w:tc>
        <w:tc>
          <w:tcPr>
            <w:tcW w:w="8504" w:type="dxa"/>
          </w:tcPr>
          <w:p w14:paraId="6C429681" w14:textId="77777777" w:rsidR="004C0F88" w:rsidRPr="00040235" w:rsidRDefault="004C0F88" w:rsidP="004C0F88">
            <w:pPr>
              <w:pStyle w:val="TableParagraph"/>
              <w:spacing w:before="6" w:line="219" w:lineRule="exact"/>
              <w:rPr>
                <w:sz w:val="18"/>
              </w:rPr>
            </w:pPr>
            <w:r w:rsidRPr="00040235">
              <w:rPr>
                <w:sz w:val="18"/>
              </w:rPr>
              <w:t>Příznak kategorie léčiva (započitatelnosti do limitu) podle sdělení MZ ČR, stanovený podle § 16b, odst. 1</w:t>
            </w:r>
          </w:p>
          <w:p w14:paraId="5194D649" w14:textId="77777777" w:rsidR="004C0F88" w:rsidRPr="00040235" w:rsidRDefault="004C0F88" w:rsidP="004C0F88">
            <w:pPr>
              <w:pStyle w:val="TableParagraph"/>
              <w:spacing w:before="0" w:line="218" w:lineRule="exact"/>
              <w:rPr>
                <w:sz w:val="18"/>
              </w:rPr>
            </w:pPr>
            <w:r w:rsidRPr="00040235">
              <w:rPr>
                <w:sz w:val="18"/>
              </w:rPr>
              <w:t>zákona č. 48/1997 Sb.</w:t>
            </w:r>
          </w:p>
          <w:p w14:paraId="6968E5BF" w14:textId="55ED9F6F" w:rsidR="004C0F88" w:rsidRPr="00040235" w:rsidRDefault="004C0F88" w:rsidP="004C0F88">
            <w:pPr>
              <w:pStyle w:val="TableParagraph"/>
              <w:rPr>
                <w:sz w:val="18"/>
              </w:rPr>
            </w:pPr>
            <w:r w:rsidRPr="00040235">
              <w:rPr>
                <w:b/>
                <w:sz w:val="18"/>
              </w:rPr>
              <w:t>K poli NEZAPX je k dispozici pomocný číselník NEZAP</w:t>
            </w:r>
            <w:r w:rsidRPr="00040235">
              <w:rPr>
                <w:sz w:val="18"/>
              </w:rPr>
              <w:t>.</w:t>
            </w:r>
          </w:p>
        </w:tc>
      </w:tr>
    </w:tbl>
    <w:p w14:paraId="0B8514D4" w14:textId="77777777" w:rsidR="006D4114" w:rsidRPr="00040235" w:rsidRDefault="006D4114">
      <w:pPr>
        <w:rPr>
          <w:sz w:val="18"/>
        </w:rPr>
        <w:sectPr w:rsidR="006D4114" w:rsidRPr="00040235" w:rsidSect="00ED12AE">
          <w:headerReference w:type="default" r:id="rId7"/>
          <w:footerReference w:type="default" r:id="rId8"/>
          <w:type w:val="continuous"/>
          <w:pgSz w:w="16840" w:h="11910" w:orient="landscape"/>
          <w:pgMar w:top="1160" w:right="1000" w:bottom="540" w:left="720" w:header="340" w:footer="349" w:gutter="0"/>
          <w:cols w:space="708"/>
          <w:docGrid w:linePitch="299"/>
        </w:sectPr>
      </w:pPr>
    </w:p>
    <w:p w14:paraId="51034D24" w14:textId="5A4404D0" w:rsidR="006D4114" w:rsidRPr="00040235" w:rsidRDefault="006D4114" w:rsidP="00F31E25">
      <w:pPr>
        <w:tabs>
          <w:tab w:val="left" w:pos="2990"/>
        </w:tabs>
        <w:spacing w:before="96"/>
        <w:ind w:left="187"/>
        <w:rPr>
          <w:b/>
          <w:sz w:val="20"/>
        </w:rPr>
      </w:pPr>
    </w:p>
    <w:p w14:paraId="06B34C14" w14:textId="77777777" w:rsidR="006D4114" w:rsidRPr="00040235" w:rsidRDefault="00ED12AE">
      <w:pPr>
        <w:pStyle w:val="Zkladntext"/>
        <w:spacing w:before="138"/>
        <w:ind w:left="187" w:right="12521"/>
      </w:pPr>
      <w:r w:rsidRPr="00040235">
        <w:t>Kódová stránka 1250 WIN CZ Oddělovač polí „|“</w:t>
      </w:r>
    </w:p>
    <w:p w14:paraId="277A4142" w14:textId="77777777" w:rsidR="006D4114" w:rsidRPr="00040235" w:rsidRDefault="00ED12AE">
      <w:pPr>
        <w:pStyle w:val="Zkladntext"/>
        <w:spacing w:line="206" w:lineRule="exact"/>
        <w:ind w:left="187"/>
      </w:pPr>
      <w:r w:rsidRPr="00040235">
        <w:t>Sloupec P/N identifikuje povinná a nepovinná pole Seznamu</w:t>
      </w:r>
    </w:p>
    <w:p w14:paraId="182637FA" w14:textId="77777777" w:rsidR="006D4114" w:rsidRPr="00040235" w:rsidRDefault="00ED12AE">
      <w:pPr>
        <w:pStyle w:val="Zkladntext"/>
        <w:tabs>
          <w:tab w:val="left" w:pos="5151"/>
        </w:tabs>
        <w:spacing w:line="206" w:lineRule="exact"/>
        <w:ind w:left="187"/>
      </w:pPr>
      <w:r w:rsidRPr="00040235">
        <w:t>Sloupec Typ identifikuje vlastnosti jednotlivých</w:t>
      </w:r>
      <w:r w:rsidRPr="00040235">
        <w:rPr>
          <w:spacing w:val="-22"/>
        </w:rPr>
        <w:t xml:space="preserve"> </w:t>
      </w:r>
      <w:r w:rsidRPr="00040235">
        <w:t>polí</w:t>
      </w:r>
      <w:r w:rsidRPr="00040235">
        <w:rPr>
          <w:spacing w:val="-5"/>
        </w:rPr>
        <w:t xml:space="preserve"> </w:t>
      </w:r>
      <w:r w:rsidRPr="00040235">
        <w:t>takto:</w:t>
      </w:r>
      <w:r w:rsidRPr="00040235">
        <w:tab/>
        <w:t>"C" - znakový</w:t>
      </w:r>
      <w:r w:rsidRPr="00040235">
        <w:rPr>
          <w:spacing w:val="-16"/>
        </w:rPr>
        <w:t xml:space="preserve"> </w:t>
      </w:r>
      <w:r w:rsidRPr="00040235">
        <w:t>atribut</w:t>
      </w:r>
    </w:p>
    <w:p w14:paraId="0D3E31BD" w14:textId="77777777" w:rsidR="006D4114" w:rsidRPr="00040235" w:rsidRDefault="00ED12AE">
      <w:pPr>
        <w:pStyle w:val="Zkladntext"/>
        <w:spacing w:line="206" w:lineRule="exact"/>
        <w:ind w:left="4190" w:right="7210"/>
        <w:jc w:val="center"/>
      </w:pPr>
      <w:r w:rsidRPr="00040235">
        <w:t>"N" - numerický atribut</w:t>
      </w:r>
    </w:p>
    <w:p w14:paraId="2606D0D1" w14:textId="77777777" w:rsidR="006D4114" w:rsidRPr="00040235" w:rsidRDefault="00ED12AE">
      <w:pPr>
        <w:pStyle w:val="Zkladntext"/>
        <w:spacing w:line="207" w:lineRule="exact"/>
        <w:ind w:left="5133" w:right="7210"/>
        <w:jc w:val="center"/>
      </w:pPr>
      <w:r w:rsidRPr="00040235">
        <w:t>"D" - datum ve formátu "</w:t>
      </w:r>
      <w:proofErr w:type="spellStart"/>
      <w:r w:rsidRPr="00040235">
        <w:t>ddmmrrrr</w:t>
      </w:r>
      <w:proofErr w:type="spellEnd"/>
      <w:r w:rsidRPr="00040235">
        <w:t>"</w:t>
      </w:r>
    </w:p>
    <w:p w14:paraId="6E859B65" w14:textId="77777777" w:rsidR="006D4114" w:rsidRPr="00040235" w:rsidRDefault="00ED12AE">
      <w:pPr>
        <w:pStyle w:val="Zkladntext"/>
        <w:spacing w:before="3"/>
        <w:ind w:left="187"/>
      </w:pPr>
      <w:r w:rsidRPr="00040235">
        <w:t>Sloupec Velikost uvádí rozsah polí. V případě numerických ve formátu "x, y" ("x" míst včetně desetinné čárky, z toho "y" desetinných)</w:t>
      </w:r>
    </w:p>
    <w:sectPr w:rsidR="006D4114" w:rsidRPr="00040235">
      <w:pgSz w:w="16840" w:h="11910" w:orient="landscape"/>
      <w:pgMar w:top="1160" w:right="1000" w:bottom="540" w:left="720" w:header="278" w:footer="3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0A66" w14:textId="77777777" w:rsidR="00ED12AE" w:rsidRPr="00040235" w:rsidRDefault="00ED12AE">
      <w:r w:rsidRPr="00040235">
        <w:separator/>
      </w:r>
    </w:p>
  </w:endnote>
  <w:endnote w:type="continuationSeparator" w:id="0">
    <w:p w14:paraId="231CF257" w14:textId="77777777" w:rsidR="00ED12AE" w:rsidRPr="00040235" w:rsidRDefault="00ED12AE">
      <w:r w:rsidRPr="000402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8EBB" w14:textId="35AE1519" w:rsidR="006D4114" w:rsidRPr="00040235" w:rsidRDefault="004C0F8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040" behindDoc="1" locked="0" layoutInCell="1" allowOverlap="1" wp14:anchorId="01745140" wp14:editId="54AAC0AA">
              <wp:simplePos x="0" y="0"/>
              <wp:positionH relativeFrom="page">
                <wp:posOffset>8564245</wp:posOffset>
              </wp:positionH>
              <wp:positionV relativeFrom="page">
                <wp:posOffset>7198995</wp:posOffset>
              </wp:positionV>
              <wp:extent cx="1253490" cy="153670"/>
              <wp:effectExtent l="1270" t="0" r="2540" b="635"/>
              <wp:wrapNone/>
              <wp:docPr id="8583773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34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A5CB0" w14:textId="381CB4A0" w:rsidR="006D4114" w:rsidRPr="00040235" w:rsidRDefault="00ED12AE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 w:rsidRPr="00040235">
                            <w:rPr>
                              <w:rFonts w:ascii="Arial"/>
                              <w:b/>
                              <w:sz w:val="18"/>
                            </w:rPr>
                            <w:t>Platnost od 01.0</w:t>
                          </w:r>
                          <w:r w:rsidR="004C0F88">
                            <w:rPr>
                              <w:rFonts w:ascii="Arial"/>
                              <w:b/>
                              <w:sz w:val="18"/>
                            </w:rPr>
                            <w:t>1</w:t>
                          </w:r>
                          <w:r w:rsidRPr="00040235">
                            <w:rPr>
                              <w:rFonts w:ascii="Arial"/>
                              <w:b/>
                              <w:sz w:val="18"/>
                            </w:rPr>
                            <w:t>.202</w:t>
                          </w:r>
                          <w:r w:rsidR="004C0F88">
                            <w:rPr>
                              <w:rFonts w:ascii="Arial"/>
                              <w:b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451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674.35pt;margin-top:566.85pt;width:98.7pt;height:12.1pt;z-index:-14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" filled="f" stroked="f">
              <v:textbox inset="0,0,0,0">
                <w:txbxContent>
                  <w:p w14:paraId="664A5CB0" w14:textId="381CB4A0" w:rsidR="006D4114" w:rsidRPr="00040235" w:rsidRDefault="00ED12AE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 w:rsidRPr="00040235">
                      <w:rPr>
                        <w:rFonts w:ascii="Arial"/>
                        <w:b/>
                        <w:sz w:val="18"/>
                      </w:rPr>
                      <w:t>Platnost od 01.0</w:t>
                    </w:r>
                    <w:r w:rsidR="004C0F88">
                      <w:rPr>
                        <w:rFonts w:ascii="Arial"/>
                        <w:b/>
                        <w:sz w:val="18"/>
                      </w:rPr>
                      <w:t>1</w:t>
                    </w:r>
                    <w:r w:rsidRPr="00040235">
                      <w:rPr>
                        <w:rFonts w:ascii="Arial"/>
                        <w:b/>
                        <w:sz w:val="18"/>
                      </w:rPr>
                      <w:t>.202</w:t>
                    </w:r>
                    <w:r w:rsidR="004C0F88">
                      <w:rPr>
                        <w:rFonts w:ascii="Arial"/>
                        <w:b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064" behindDoc="1" locked="0" layoutInCell="1" allowOverlap="1" wp14:anchorId="665DA55E" wp14:editId="74A8E50B">
              <wp:simplePos x="0" y="0"/>
              <wp:positionH relativeFrom="page">
                <wp:posOffset>4671060</wp:posOffset>
              </wp:positionH>
              <wp:positionV relativeFrom="page">
                <wp:posOffset>7216775</wp:posOffset>
              </wp:positionV>
              <wp:extent cx="918210" cy="139700"/>
              <wp:effectExtent l="3810" t="0" r="1905" b="0"/>
              <wp:wrapNone/>
              <wp:docPr id="7723932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9410D" w14:textId="51AA3116" w:rsidR="006D4114" w:rsidRPr="00040235" w:rsidRDefault="00ED12AE">
                          <w:pPr>
                            <w:pStyle w:val="Zkladntext"/>
                            <w:spacing w:line="203" w:lineRule="exact"/>
                            <w:ind w:left="20"/>
                            <w:rPr>
                              <w:rFonts w:ascii="Calibri"/>
                            </w:rPr>
                          </w:pPr>
                          <w:r w:rsidRPr="00040235">
                            <w:rPr>
                              <w:rFonts w:ascii="Calibri"/>
                            </w:rPr>
                            <w:t xml:space="preserve">Strana </w:t>
                          </w:r>
                          <w:r w:rsidRPr="00040235">
                            <w:fldChar w:fldCharType="begin"/>
                          </w:r>
                          <w:r w:rsidRPr="00040235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 w:rsidRPr="00040235">
                            <w:fldChar w:fldCharType="separate"/>
                          </w:r>
                          <w:r w:rsidRPr="00040235">
                            <w:t>1</w:t>
                          </w:r>
                          <w:r w:rsidRPr="00040235">
                            <w:fldChar w:fldCharType="end"/>
                          </w:r>
                          <w:r w:rsidRPr="00040235">
                            <w:rPr>
                              <w:rFonts w:ascii="Calibri"/>
                            </w:rPr>
                            <w:t xml:space="preserve"> (celkem </w:t>
                          </w:r>
                          <w:r>
                            <w:rPr>
                              <w:rFonts w:ascii="Calibri"/>
                            </w:rPr>
                            <w:t>3</w:t>
                          </w:r>
                          <w:r w:rsidRPr="00040235">
                            <w:rPr>
                              <w:rFonts w:ascii="Calibri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DA55E" id="Text Box 1" o:spid="_x0000_s1030" type="#_x0000_t202" style="position:absolute;margin-left:367.8pt;margin-top:568.25pt;width:72.3pt;height:11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" filled="f" stroked="f">
              <v:textbox inset="0,0,0,0">
                <w:txbxContent>
                  <w:p w14:paraId="26E9410D" w14:textId="51AA3116" w:rsidR="006D4114" w:rsidRPr="00040235" w:rsidRDefault="00ED12AE">
                    <w:pPr>
                      <w:pStyle w:val="Zkladntext"/>
                      <w:spacing w:line="203" w:lineRule="exact"/>
                      <w:ind w:left="20"/>
                      <w:rPr>
                        <w:rFonts w:ascii="Calibri"/>
                      </w:rPr>
                    </w:pPr>
                    <w:r w:rsidRPr="00040235">
                      <w:rPr>
                        <w:rFonts w:ascii="Calibri"/>
                      </w:rPr>
                      <w:t xml:space="preserve">Strana </w:t>
                    </w:r>
                    <w:r w:rsidRPr="00040235">
                      <w:fldChar w:fldCharType="begin"/>
                    </w:r>
                    <w:r w:rsidRPr="00040235">
                      <w:rPr>
                        <w:rFonts w:ascii="Calibri"/>
                      </w:rPr>
                      <w:instrText xml:space="preserve"> PAGE </w:instrText>
                    </w:r>
                    <w:r w:rsidRPr="00040235">
                      <w:fldChar w:fldCharType="separate"/>
                    </w:r>
                    <w:r w:rsidRPr="00040235">
                      <w:t>1</w:t>
                    </w:r>
                    <w:r w:rsidRPr="00040235">
                      <w:fldChar w:fldCharType="end"/>
                    </w:r>
                    <w:r w:rsidRPr="00040235">
                      <w:rPr>
                        <w:rFonts w:ascii="Calibri"/>
                      </w:rPr>
                      <w:t xml:space="preserve"> (celkem </w:t>
                    </w:r>
                    <w:r>
                      <w:rPr>
                        <w:rFonts w:ascii="Calibri"/>
                      </w:rPr>
                      <w:t>3</w:t>
                    </w:r>
                    <w:r w:rsidRPr="00040235">
                      <w:rPr>
                        <w:rFonts w:ascii="Calibri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FD26" w14:textId="77777777" w:rsidR="00ED12AE" w:rsidRPr="00040235" w:rsidRDefault="00ED12AE">
      <w:r w:rsidRPr="00040235">
        <w:separator/>
      </w:r>
    </w:p>
  </w:footnote>
  <w:footnote w:type="continuationSeparator" w:id="0">
    <w:p w14:paraId="11AFDA17" w14:textId="77777777" w:rsidR="00ED12AE" w:rsidRPr="00040235" w:rsidRDefault="00ED12AE">
      <w:r w:rsidRPr="000402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EE31" w14:textId="5562175C" w:rsidR="00F31E25" w:rsidRDefault="004C0F88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2016" behindDoc="1" locked="0" layoutInCell="1" allowOverlap="1" wp14:anchorId="4F3A0F93" wp14:editId="4FE9BF70">
              <wp:simplePos x="0" y="0"/>
              <wp:positionH relativeFrom="page">
                <wp:posOffset>8322310</wp:posOffset>
              </wp:positionH>
              <wp:positionV relativeFrom="page">
                <wp:posOffset>163830</wp:posOffset>
              </wp:positionV>
              <wp:extent cx="1275080" cy="242570"/>
              <wp:effectExtent l="0" t="1905" r="3810" b="3175"/>
              <wp:wrapNone/>
              <wp:docPr id="13536415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02430" w14:textId="3B0C2ABF" w:rsidR="006D4114" w:rsidRPr="00040235" w:rsidRDefault="00ED12AE" w:rsidP="00B901DC">
                          <w:pPr>
                            <w:spacing w:before="19" w:line="171" w:lineRule="exact"/>
                            <w:rPr>
                              <w:rFonts w:ascii="Century Gothic"/>
                              <w:sz w:val="14"/>
                            </w:rPr>
                          </w:pPr>
                          <w:r w:rsidRPr="00040235">
                            <w:rPr>
                              <w:rFonts w:ascii="Century Gothic"/>
                              <w:b/>
                              <w:color w:val="2C2F91"/>
                              <w:sz w:val="14"/>
                            </w:rPr>
                            <w:t xml:space="preserve">e-mail: </w:t>
                          </w:r>
                          <w:hyperlink r:id="rId1" w:history="1">
                            <w:r w:rsidR="00B901DC" w:rsidRPr="00996050">
                              <w:rPr>
                                <w:rStyle w:val="Hypertextovodkaz"/>
                                <w:rFonts w:ascii="Century Gothic"/>
                                <w:sz w:val="14"/>
                              </w:rPr>
                              <w:t>posta@sukl.gov.cz</w:t>
                            </w:r>
                          </w:hyperlink>
                        </w:p>
                        <w:p w14:paraId="06292B92" w14:textId="58B45F2D" w:rsidR="006D4114" w:rsidRPr="00040235" w:rsidRDefault="00ED12AE" w:rsidP="00B901DC">
                          <w:pPr>
                            <w:spacing w:line="171" w:lineRule="exact"/>
                            <w:rPr>
                              <w:rFonts w:ascii="Century Gothic"/>
                              <w:sz w:val="14"/>
                            </w:rPr>
                          </w:pPr>
                          <w:r w:rsidRPr="00040235">
                            <w:rPr>
                              <w:rFonts w:ascii="Century Gothic"/>
                              <w:b/>
                              <w:color w:val="2C2F91"/>
                              <w:sz w:val="14"/>
                            </w:rPr>
                            <w:t xml:space="preserve">web: </w:t>
                          </w:r>
                          <w:hyperlink r:id="rId2">
                            <w:r w:rsidRPr="00040235">
                              <w:rPr>
                                <w:rFonts w:ascii="Century Gothic"/>
                                <w:color w:val="0000FF"/>
                                <w:sz w:val="14"/>
                                <w:u w:val="single" w:color="0000FF"/>
                              </w:rPr>
                              <w:t>sukl.</w:t>
                            </w:r>
                            <w:r w:rsidR="00B901DC">
                              <w:rPr>
                                <w:rFonts w:ascii="Century Gothic"/>
                                <w:color w:val="0000FF"/>
                                <w:sz w:val="14"/>
                                <w:u w:val="single" w:color="0000FF"/>
                              </w:rPr>
                              <w:t>gov.</w:t>
                            </w:r>
                            <w:r w:rsidRPr="00040235">
                              <w:rPr>
                                <w:rFonts w:ascii="Century Gothic"/>
                                <w:color w:val="0000FF"/>
                                <w:sz w:val="14"/>
                                <w:u w:val="single" w:color="0000FF"/>
                              </w:rPr>
                              <w:t>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A0F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55.3pt;margin-top:12.9pt;width:100.4pt;height:19.1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" filled="f" stroked="f">
              <v:textbox inset="0,0,0,0">
                <w:txbxContent>
                  <w:p w14:paraId="41702430" w14:textId="3B0C2ABF" w:rsidR="006D4114" w:rsidRPr="00040235" w:rsidRDefault="00ED12AE" w:rsidP="00B901DC">
                    <w:pPr>
                      <w:spacing w:before="19" w:line="171" w:lineRule="exact"/>
                      <w:rPr>
                        <w:rFonts w:ascii="Century Gothic"/>
                        <w:sz w:val="14"/>
                      </w:rPr>
                    </w:pPr>
                    <w:r w:rsidRPr="00040235">
                      <w:rPr>
                        <w:rFonts w:ascii="Century Gothic"/>
                        <w:b/>
                        <w:color w:val="2C2F91"/>
                        <w:sz w:val="14"/>
                      </w:rPr>
                      <w:t xml:space="preserve">e-mail: </w:t>
                    </w:r>
                    <w:hyperlink r:id="rId3" w:history="1">
                      <w:r w:rsidR="00B901DC" w:rsidRPr="00996050">
                        <w:rPr>
                          <w:rStyle w:val="Hypertextovodkaz"/>
                          <w:rFonts w:ascii="Century Gothic"/>
                          <w:sz w:val="14"/>
                        </w:rPr>
                        <w:t>posta@sukl.gov.cz</w:t>
                      </w:r>
                    </w:hyperlink>
                  </w:p>
                  <w:p w14:paraId="06292B92" w14:textId="58B45F2D" w:rsidR="006D4114" w:rsidRPr="00040235" w:rsidRDefault="00ED12AE" w:rsidP="00B901DC">
                    <w:pPr>
                      <w:spacing w:line="171" w:lineRule="exact"/>
                      <w:rPr>
                        <w:rFonts w:ascii="Century Gothic"/>
                        <w:sz w:val="14"/>
                      </w:rPr>
                    </w:pPr>
                    <w:r w:rsidRPr="00040235">
                      <w:rPr>
                        <w:rFonts w:ascii="Century Gothic"/>
                        <w:b/>
                        <w:color w:val="2C2F91"/>
                        <w:sz w:val="14"/>
                      </w:rPr>
                      <w:t xml:space="preserve">web: </w:t>
                    </w:r>
                    <w:hyperlink r:id="rId4">
                      <w:r w:rsidRPr="00040235">
                        <w:rPr>
                          <w:rFonts w:ascii="Century Gothic"/>
                          <w:color w:val="0000FF"/>
                          <w:sz w:val="14"/>
                          <w:u w:val="single" w:color="0000FF"/>
                        </w:rPr>
                        <w:t>sukl.</w:t>
                      </w:r>
                      <w:r w:rsidR="00B901DC">
                        <w:rPr>
                          <w:rFonts w:ascii="Century Gothic"/>
                          <w:color w:val="0000FF"/>
                          <w:sz w:val="14"/>
                          <w:u w:val="single" w:color="0000FF"/>
                        </w:rPr>
                        <w:t>gov.</w:t>
                      </w:r>
                      <w:r w:rsidRPr="00040235">
                        <w:rPr>
                          <w:rFonts w:ascii="Century Gothic"/>
                          <w:color w:val="0000FF"/>
                          <w:sz w:val="14"/>
                          <w:u w:val="single" w:color="0000FF"/>
                        </w:rPr>
                        <w:t>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992" behindDoc="1" locked="0" layoutInCell="1" allowOverlap="1" wp14:anchorId="1F31A956" wp14:editId="2354780C">
              <wp:simplePos x="0" y="0"/>
              <wp:positionH relativeFrom="page">
                <wp:posOffset>7050405</wp:posOffset>
              </wp:positionH>
              <wp:positionV relativeFrom="page">
                <wp:posOffset>163830</wp:posOffset>
              </wp:positionV>
              <wp:extent cx="1073150" cy="242570"/>
              <wp:effectExtent l="1905" t="1905" r="1270" b="3175"/>
              <wp:wrapNone/>
              <wp:docPr id="7946035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A4F6B" w14:textId="77777777" w:rsidR="006D4114" w:rsidRPr="00040235" w:rsidRDefault="00ED12AE">
                          <w:pPr>
                            <w:spacing w:before="19" w:line="171" w:lineRule="exact"/>
                            <w:ind w:left="22"/>
                            <w:rPr>
                              <w:rFonts w:ascii="Century Gothic"/>
                              <w:sz w:val="14"/>
                            </w:rPr>
                          </w:pPr>
                          <w:r w:rsidRPr="00040235">
                            <w:rPr>
                              <w:rFonts w:ascii="Century Gothic"/>
                              <w:b/>
                              <w:color w:val="2C2F91"/>
                              <w:sz w:val="14"/>
                            </w:rPr>
                            <w:t xml:space="preserve">tel.: </w:t>
                          </w:r>
                          <w:r w:rsidRPr="00040235">
                            <w:rPr>
                              <w:rFonts w:ascii="Century Gothic"/>
                              <w:color w:val="2C2F91"/>
                              <w:sz w:val="13"/>
                            </w:rPr>
                            <w:t xml:space="preserve">+420 </w:t>
                          </w:r>
                          <w:r w:rsidRPr="00040235">
                            <w:rPr>
                              <w:rFonts w:ascii="Century Gothic"/>
                              <w:color w:val="2C2F91"/>
                              <w:sz w:val="14"/>
                            </w:rPr>
                            <w:t>272 185 111</w:t>
                          </w:r>
                        </w:p>
                        <w:p w14:paraId="3E358B25" w14:textId="182DB030" w:rsidR="006D4114" w:rsidRPr="00B901DC" w:rsidRDefault="00B901DC" w:rsidP="00B901DC">
                          <w:pPr>
                            <w:spacing w:line="171" w:lineRule="exact"/>
                            <w:ind w:left="20"/>
                            <w:rPr>
                              <w:rFonts w:ascii="Century Gothic"/>
                              <w:color w:val="002060"/>
                              <w:sz w:val="14"/>
                            </w:rPr>
                          </w:pPr>
                          <w:r w:rsidRPr="00B901DC">
                            <w:rPr>
                              <w:b/>
                              <w:bCs/>
                              <w:color w:val="002060"/>
                              <w:sz w:val="16"/>
                            </w:rPr>
                            <w:t>ID DS</w:t>
                          </w:r>
                          <w:r w:rsidRPr="00B901DC">
                            <w:rPr>
                              <w:color w:val="002060"/>
                              <w:sz w:val="16"/>
                            </w:rPr>
                            <w:t>: qwfai2m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1A956" id="Text Box 4" o:spid="_x0000_s1027" type="#_x0000_t202" style="position:absolute;margin-left:555.15pt;margin-top:12.9pt;width:84.5pt;height:19.1pt;z-index:-1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" filled="f" stroked="f">
              <v:textbox inset="0,0,0,0">
                <w:txbxContent>
                  <w:p w14:paraId="3C2A4F6B" w14:textId="77777777" w:rsidR="006D4114" w:rsidRPr="00040235" w:rsidRDefault="00ED12AE">
                    <w:pPr>
                      <w:spacing w:before="19" w:line="171" w:lineRule="exact"/>
                      <w:ind w:left="22"/>
                      <w:rPr>
                        <w:rFonts w:ascii="Century Gothic"/>
                        <w:sz w:val="14"/>
                      </w:rPr>
                    </w:pPr>
                    <w:r w:rsidRPr="00040235">
                      <w:rPr>
                        <w:rFonts w:ascii="Century Gothic"/>
                        <w:b/>
                        <w:color w:val="2C2F91"/>
                        <w:sz w:val="14"/>
                      </w:rPr>
                      <w:t xml:space="preserve">tel.: </w:t>
                    </w:r>
                    <w:r w:rsidRPr="00040235">
                      <w:rPr>
                        <w:rFonts w:ascii="Century Gothic"/>
                        <w:color w:val="2C2F91"/>
                        <w:sz w:val="13"/>
                      </w:rPr>
                      <w:t xml:space="preserve">+420 </w:t>
                    </w:r>
                    <w:r w:rsidRPr="00040235">
                      <w:rPr>
                        <w:rFonts w:ascii="Century Gothic"/>
                        <w:color w:val="2C2F91"/>
                        <w:sz w:val="14"/>
                      </w:rPr>
                      <w:t>272 185 111</w:t>
                    </w:r>
                  </w:p>
                  <w:p w14:paraId="3E358B25" w14:textId="182DB030" w:rsidR="006D4114" w:rsidRPr="00B901DC" w:rsidRDefault="00B901DC" w:rsidP="00B901DC">
                    <w:pPr>
                      <w:spacing w:line="171" w:lineRule="exact"/>
                      <w:ind w:left="20"/>
                      <w:rPr>
                        <w:rFonts w:ascii="Century Gothic"/>
                        <w:color w:val="002060"/>
                        <w:sz w:val="14"/>
                      </w:rPr>
                    </w:pPr>
                    <w:r w:rsidRPr="00B901DC">
                      <w:rPr>
                        <w:b/>
                        <w:bCs/>
                        <w:color w:val="002060"/>
                        <w:sz w:val="16"/>
                      </w:rPr>
                      <w:t>ID DS</w:t>
                    </w:r>
                    <w:r w:rsidRPr="00B901DC">
                      <w:rPr>
                        <w:color w:val="002060"/>
                        <w:sz w:val="16"/>
                      </w:rPr>
                      <w:t>: qwfai2m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968" behindDoc="1" locked="0" layoutInCell="1" allowOverlap="1" wp14:anchorId="555E56B8" wp14:editId="198890DC">
              <wp:simplePos x="0" y="0"/>
              <wp:positionH relativeFrom="page">
                <wp:posOffset>5347970</wp:posOffset>
              </wp:positionH>
              <wp:positionV relativeFrom="page">
                <wp:posOffset>163830</wp:posOffset>
              </wp:positionV>
              <wp:extent cx="1496695" cy="242570"/>
              <wp:effectExtent l="4445" t="1905" r="3810" b="3175"/>
              <wp:wrapNone/>
              <wp:docPr id="13355006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69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DEBEE" w14:textId="77777777" w:rsidR="006D4114" w:rsidRPr="00040235" w:rsidRDefault="00ED12AE">
                          <w:pPr>
                            <w:spacing w:before="19" w:line="171" w:lineRule="exact"/>
                            <w:ind w:left="20"/>
                            <w:rPr>
                              <w:rFonts w:ascii="Century Gothic" w:hAnsi="Century Gothic"/>
                              <w:b/>
                              <w:sz w:val="14"/>
                            </w:rPr>
                          </w:pPr>
                          <w:r w:rsidRPr="00040235">
                            <w:rPr>
                              <w:rFonts w:ascii="Century Gothic" w:hAnsi="Century Gothic"/>
                              <w:b/>
                              <w:color w:val="2C2F91"/>
                              <w:sz w:val="14"/>
                            </w:rPr>
                            <w:t>Státní ústav pro kontrolu léčiv</w:t>
                          </w:r>
                        </w:p>
                        <w:p w14:paraId="1270D42B" w14:textId="75F7FB98" w:rsidR="006D4114" w:rsidRPr="00040235" w:rsidRDefault="00ED12AE">
                          <w:pPr>
                            <w:spacing w:line="171" w:lineRule="exact"/>
                            <w:ind w:left="20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r w:rsidRPr="00040235">
                            <w:rPr>
                              <w:rFonts w:ascii="Century Gothic" w:hAnsi="Century Gothic"/>
                              <w:color w:val="2C2F91"/>
                              <w:sz w:val="14"/>
                            </w:rPr>
                            <w:t xml:space="preserve">Šrobárova </w:t>
                          </w:r>
                          <w:r w:rsidR="00B901DC">
                            <w:rPr>
                              <w:rFonts w:ascii="Century Gothic" w:hAnsi="Century Gothic"/>
                              <w:color w:val="2C2F91"/>
                              <w:sz w:val="14"/>
                            </w:rPr>
                            <w:t>49/</w:t>
                          </w:r>
                          <w:r w:rsidRPr="00040235">
                            <w:rPr>
                              <w:rFonts w:ascii="Century Gothic" w:hAnsi="Century Gothic"/>
                              <w:color w:val="2C2F91"/>
                              <w:sz w:val="14"/>
                            </w:rPr>
                            <w:t xml:space="preserve">48, 100 </w:t>
                          </w:r>
                          <w:r w:rsidR="00B901DC">
                            <w:rPr>
                              <w:rFonts w:ascii="Century Gothic" w:hAnsi="Century Gothic"/>
                              <w:color w:val="2C2F91"/>
                              <w:sz w:val="14"/>
                            </w:rPr>
                            <w:t>00</w:t>
                          </w:r>
                          <w:r w:rsidRPr="00040235">
                            <w:rPr>
                              <w:rFonts w:ascii="Century Gothic" w:hAnsi="Century Gothic"/>
                              <w:color w:val="2C2F91"/>
                              <w:sz w:val="14"/>
                            </w:rPr>
                            <w:t xml:space="preserve"> Praha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5E56B8" id="Text Box 5" o:spid="_x0000_s1028" type="#_x0000_t202" style="position:absolute;margin-left:421.1pt;margin-top:12.9pt;width:117.85pt;height:19.1pt;z-index:-1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" filled="f" stroked="f">
              <v:textbox inset="0,0,0,0">
                <w:txbxContent>
                  <w:p w14:paraId="319DEBEE" w14:textId="77777777" w:rsidR="006D4114" w:rsidRPr="00040235" w:rsidRDefault="00ED12AE">
                    <w:pPr>
                      <w:spacing w:before="19" w:line="171" w:lineRule="exact"/>
                      <w:ind w:left="20"/>
                      <w:rPr>
                        <w:rFonts w:ascii="Century Gothic" w:hAnsi="Century Gothic"/>
                        <w:b/>
                        <w:sz w:val="14"/>
                      </w:rPr>
                    </w:pPr>
                    <w:r w:rsidRPr="00040235">
                      <w:rPr>
                        <w:rFonts w:ascii="Century Gothic" w:hAnsi="Century Gothic"/>
                        <w:b/>
                        <w:color w:val="2C2F91"/>
                        <w:sz w:val="14"/>
                      </w:rPr>
                      <w:t>Státní ústav pro kontrolu léčiv</w:t>
                    </w:r>
                  </w:p>
                  <w:p w14:paraId="1270D42B" w14:textId="75F7FB98" w:rsidR="006D4114" w:rsidRPr="00040235" w:rsidRDefault="00ED12AE">
                    <w:pPr>
                      <w:spacing w:line="171" w:lineRule="exact"/>
                      <w:ind w:left="20"/>
                      <w:rPr>
                        <w:rFonts w:ascii="Century Gothic" w:hAnsi="Century Gothic"/>
                        <w:sz w:val="14"/>
                      </w:rPr>
                    </w:pPr>
                    <w:r w:rsidRPr="00040235">
                      <w:rPr>
                        <w:rFonts w:ascii="Century Gothic" w:hAnsi="Century Gothic"/>
                        <w:color w:val="2C2F91"/>
                        <w:sz w:val="14"/>
                      </w:rPr>
                      <w:t xml:space="preserve">Šrobárova </w:t>
                    </w:r>
                    <w:r w:rsidR="00B901DC">
                      <w:rPr>
                        <w:rFonts w:ascii="Century Gothic" w:hAnsi="Century Gothic"/>
                        <w:color w:val="2C2F91"/>
                        <w:sz w:val="14"/>
                      </w:rPr>
                      <w:t>49/</w:t>
                    </w:r>
                    <w:r w:rsidRPr="00040235">
                      <w:rPr>
                        <w:rFonts w:ascii="Century Gothic" w:hAnsi="Century Gothic"/>
                        <w:color w:val="2C2F91"/>
                        <w:sz w:val="14"/>
                      </w:rPr>
                      <w:t xml:space="preserve">48, 100 </w:t>
                    </w:r>
                    <w:r w:rsidR="00B901DC">
                      <w:rPr>
                        <w:rFonts w:ascii="Century Gothic" w:hAnsi="Century Gothic"/>
                        <w:color w:val="2C2F91"/>
                        <w:sz w:val="14"/>
                      </w:rPr>
                      <w:t>00</w:t>
                    </w:r>
                    <w:r w:rsidRPr="00040235">
                      <w:rPr>
                        <w:rFonts w:ascii="Century Gothic" w:hAnsi="Century Gothic"/>
                        <w:color w:val="2C2F91"/>
                        <w:sz w:val="14"/>
                      </w:rPr>
                      <w:t xml:space="preserve">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BE2829" w14:textId="77777777" w:rsidR="00F31E25" w:rsidRDefault="00F31E25">
    <w:pPr>
      <w:pStyle w:val="Zkladntext"/>
      <w:spacing w:line="14" w:lineRule="auto"/>
    </w:pPr>
  </w:p>
  <w:p w14:paraId="3FDC13BA" w14:textId="77777777" w:rsidR="00F31E25" w:rsidRDefault="00F31E25" w:rsidP="00F31E25">
    <w:pPr>
      <w:pStyle w:val="Nadpis1"/>
      <w:tabs>
        <w:tab w:val="left" w:pos="2990"/>
      </w:tabs>
      <w:ind w:left="2880"/>
      <w:rPr>
        <w:color w:val="000080"/>
        <w:u w:val="single" w:color="2C2F91"/>
      </w:rPr>
    </w:pPr>
  </w:p>
  <w:p w14:paraId="420C9F95" w14:textId="2CA105CA" w:rsidR="00F31E25" w:rsidRPr="00040235" w:rsidRDefault="00F31E25" w:rsidP="00F31E25">
    <w:pPr>
      <w:pStyle w:val="Nadpis1"/>
      <w:tabs>
        <w:tab w:val="left" w:pos="2990"/>
      </w:tabs>
      <w:ind w:left="2880"/>
    </w:pPr>
    <w:r w:rsidRPr="00040235">
      <w:rPr>
        <w:color w:val="000080"/>
        <w:u w:val="single" w:color="2C2F91"/>
      </w:rPr>
      <w:t>Formát</w:t>
    </w:r>
    <w:r w:rsidRPr="00040235">
      <w:rPr>
        <w:color w:val="000080"/>
        <w:spacing w:val="-2"/>
        <w:u w:val="single" w:color="2C2F91"/>
      </w:rPr>
      <w:t xml:space="preserve"> </w:t>
    </w:r>
    <w:r w:rsidRPr="00040235">
      <w:rPr>
        <w:color w:val="000080"/>
        <w:u w:val="single" w:color="2C2F91"/>
      </w:rPr>
      <w:t>Seznamu</w:t>
    </w:r>
    <w:r w:rsidRPr="00040235">
      <w:rPr>
        <w:color w:val="000080"/>
        <w:spacing w:val="-2"/>
        <w:u w:val="single" w:color="2C2F91"/>
      </w:rPr>
      <w:t xml:space="preserve"> </w:t>
    </w:r>
    <w:r w:rsidRPr="00040235">
      <w:rPr>
        <w:color w:val="000080"/>
        <w:u w:val="single" w:color="2C2F91"/>
      </w:rPr>
      <w:t>hrazených</w:t>
    </w:r>
    <w:r w:rsidRPr="00040235">
      <w:rPr>
        <w:color w:val="000080"/>
        <w:spacing w:val="-2"/>
        <w:u w:val="single" w:color="2C2F91"/>
      </w:rPr>
      <w:t xml:space="preserve"> </w:t>
    </w:r>
    <w:r w:rsidRPr="00040235">
      <w:rPr>
        <w:color w:val="000080"/>
        <w:u w:val="single" w:color="2C2F91"/>
      </w:rPr>
      <w:t>léčivých</w:t>
    </w:r>
    <w:r w:rsidRPr="00040235">
      <w:rPr>
        <w:color w:val="000080"/>
        <w:spacing w:val="-2"/>
        <w:u w:val="single" w:color="2C2F91"/>
      </w:rPr>
      <w:t xml:space="preserve"> </w:t>
    </w:r>
    <w:r w:rsidRPr="00040235">
      <w:rPr>
        <w:color w:val="000080"/>
        <w:u w:val="single" w:color="2C2F91"/>
      </w:rPr>
      <w:t>přípravků</w:t>
    </w:r>
    <w:r w:rsidRPr="00040235">
      <w:rPr>
        <w:color w:val="000080"/>
        <w:spacing w:val="-4"/>
        <w:u w:val="single" w:color="2C2F91"/>
      </w:rPr>
      <w:t xml:space="preserve"> </w:t>
    </w:r>
    <w:r w:rsidRPr="00040235">
      <w:rPr>
        <w:color w:val="000080"/>
        <w:u w:val="single" w:color="2C2F91"/>
      </w:rPr>
      <w:t>a</w:t>
    </w:r>
    <w:r w:rsidRPr="00040235">
      <w:rPr>
        <w:color w:val="000080"/>
        <w:spacing w:val="-2"/>
        <w:u w:val="single" w:color="2C2F91"/>
      </w:rPr>
      <w:t xml:space="preserve"> </w:t>
    </w:r>
    <w:r w:rsidRPr="00040235">
      <w:rPr>
        <w:color w:val="000080"/>
        <w:u w:val="single" w:color="2C2F91"/>
      </w:rPr>
      <w:t>potravin</w:t>
    </w:r>
    <w:r w:rsidRPr="00040235">
      <w:rPr>
        <w:color w:val="000080"/>
        <w:spacing w:val="-2"/>
        <w:u w:val="single" w:color="2C2F91"/>
      </w:rPr>
      <w:t xml:space="preserve"> </w:t>
    </w:r>
    <w:r w:rsidRPr="00040235">
      <w:rPr>
        <w:color w:val="000080"/>
        <w:u w:val="single" w:color="2C2F91"/>
      </w:rPr>
      <w:t>pro</w:t>
    </w:r>
    <w:r w:rsidRPr="00040235">
      <w:rPr>
        <w:color w:val="000080"/>
        <w:spacing w:val="-4"/>
        <w:u w:val="single" w:color="2C2F91"/>
      </w:rPr>
      <w:t xml:space="preserve"> </w:t>
    </w:r>
    <w:r w:rsidRPr="00040235">
      <w:rPr>
        <w:color w:val="000080"/>
        <w:u w:val="single" w:color="2C2F91"/>
      </w:rPr>
      <w:t>zvláštní</w:t>
    </w:r>
    <w:r w:rsidRPr="00040235">
      <w:rPr>
        <w:color w:val="000080"/>
        <w:spacing w:val="-2"/>
        <w:u w:val="single" w:color="2C2F91"/>
      </w:rPr>
      <w:t xml:space="preserve"> </w:t>
    </w:r>
    <w:r w:rsidRPr="00040235">
      <w:rPr>
        <w:color w:val="000080"/>
        <w:u w:val="single" w:color="2C2F91"/>
      </w:rPr>
      <w:t>lékařské</w:t>
    </w:r>
    <w:r w:rsidRPr="00040235">
      <w:rPr>
        <w:color w:val="000080"/>
        <w:spacing w:val="-2"/>
        <w:u w:val="single" w:color="2C2F91"/>
      </w:rPr>
      <w:t xml:space="preserve"> </w:t>
    </w:r>
    <w:r w:rsidRPr="00040235">
      <w:rPr>
        <w:color w:val="000080"/>
        <w:u w:val="single" w:color="2C2F91"/>
      </w:rPr>
      <w:t>účely</w:t>
    </w:r>
    <w:r w:rsidRPr="00040235">
      <w:rPr>
        <w:color w:val="000080"/>
        <w:spacing w:val="6"/>
        <w:u w:val="single" w:color="2C2F91"/>
      </w:rPr>
      <w:t xml:space="preserve"> </w:t>
    </w:r>
    <w:r w:rsidRPr="00040235">
      <w:rPr>
        <w:color w:val="000080"/>
        <w:u w:val="single" w:color="2C2F91"/>
      </w:rPr>
      <w:t>pro</w:t>
    </w:r>
    <w:r w:rsidRPr="00040235">
      <w:rPr>
        <w:color w:val="000080"/>
        <w:spacing w:val="-4"/>
        <w:u w:val="single" w:color="2C2F91"/>
      </w:rPr>
      <w:t xml:space="preserve"> </w:t>
    </w:r>
    <w:r w:rsidRPr="00040235">
      <w:rPr>
        <w:color w:val="000080"/>
        <w:spacing w:val="2"/>
        <w:u w:val="single" w:color="2C2F91"/>
      </w:rPr>
      <w:t>úhrady</w:t>
    </w:r>
    <w:r>
      <w:rPr>
        <w:color w:val="000080"/>
        <w:spacing w:val="2"/>
        <w:u w:val="single" w:color="2C2F91"/>
      </w:rPr>
      <w:t xml:space="preserve"> </w:t>
    </w:r>
    <w:r w:rsidRPr="00040235">
      <w:rPr>
        <w:color w:val="000080"/>
        <w:spacing w:val="2"/>
        <w:u w:val="single" w:color="2C2F91"/>
      </w:rPr>
      <w:t>v</w:t>
    </w:r>
    <w:r w:rsidRPr="00040235">
      <w:rPr>
        <w:color w:val="000080"/>
        <w:spacing w:val="-4"/>
        <w:u w:val="single" w:color="2C2F91"/>
      </w:rPr>
      <w:t xml:space="preserve"> </w:t>
    </w:r>
    <w:r w:rsidRPr="00040235">
      <w:rPr>
        <w:color w:val="000080"/>
        <w:u w:val="single" w:color="2C2F91"/>
      </w:rPr>
      <w:t>pořadí</w:t>
    </w:r>
    <w:r w:rsidRPr="00040235">
      <w:rPr>
        <w:color w:val="000080"/>
        <w:spacing w:val="-4"/>
        <w:u w:val="single" w:color="2C2F91"/>
      </w:rPr>
      <w:t xml:space="preserve"> </w:t>
    </w:r>
    <w:r w:rsidRPr="00040235">
      <w:rPr>
        <w:color w:val="000080"/>
        <w:u w:val="single" w:color="2C2F91"/>
      </w:rPr>
      <w:t>4</w:t>
    </w:r>
    <w:r w:rsidRPr="00040235">
      <w:rPr>
        <w:color w:val="000080"/>
        <w:spacing w:val="-2"/>
        <w:u w:val="single" w:color="2C2F91"/>
      </w:rPr>
      <w:t xml:space="preserve"> </w:t>
    </w:r>
    <w:r w:rsidRPr="00040235">
      <w:rPr>
        <w:color w:val="000080"/>
        <w:u w:val="single" w:color="2C2F91"/>
      </w:rPr>
      <w:t>a</w:t>
    </w:r>
    <w:r w:rsidRPr="00040235">
      <w:rPr>
        <w:color w:val="000080"/>
        <w:spacing w:val="-6"/>
        <w:u w:val="single" w:color="2C2F91"/>
      </w:rPr>
      <w:t xml:space="preserve"> </w:t>
    </w:r>
    <w:r w:rsidRPr="00040235">
      <w:rPr>
        <w:color w:val="000080"/>
        <w:u w:val="single" w:color="2C2F91"/>
      </w:rPr>
      <w:t>výše,</w:t>
    </w:r>
    <w:r w:rsidRPr="00040235">
      <w:rPr>
        <w:color w:val="000080"/>
        <w:spacing w:val="-2"/>
        <w:u w:val="single" w:color="2C2F91"/>
      </w:rPr>
      <w:t xml:space="preserve"> </w:t>
    </w:r>
    <w:r w:rsidRPr="00040235">
      <w:rPr>
        <w:color w:val="000080"/>
        <w:u w:val="single" w:color="2C2F91"/>
      </w:rPr>
      <w:t>SÚKL,</w:t>
    </w:r>
    <w:r w:rsidRPr="00040235">
      <w:rPr>
        <w:color w:val="000080"/>
        <w:spacing w:val="-4"/>
        <w:u w:val="single" w:color="2C2F91"/>
      </w:rPr>
      <w:t xml:space="preserve"> </w:t>
    </w:r>
    <w:r w:rsidRPr="00040235">
      <w:rPr>
        <w:color w:val="000080"/>
        <w:u w:val="single" w:color="2C2F91"/>
      </w:rPr>
      <w:t>verze</w:t>
    </w:r>
    <w:r w:rsidRPr="00040235">
      <w:rPr>
        <w:color w:val="000080"/>
        <w:spacing w:val="-1"/>
        <w:u w:val="single" w:color="2C2F91"/>
      </w:rPr>
      <w:t xml:space="preserve"> </w:t>
    </w:r>
    <w:r w:rsidRPr="00040235">
      <w:rPr>
        <w:color w:val="000080"/>
        <w:u w:val="single" w:color="2C2F91"/>
      </w:rPr>
      <w:t>2</w:t>
    </w:r>
    <w:r w:rsidR="004C0F88">
      <w:rPr>
        <w:color w:val="000080"/>
        <w:u w:val="single" w:color="2C2F91"/>
      </w:rPr>
      <w:t>1</w:t>
    </w:r>
    <w:r w:rsidRPr="00040235">
      <w:rPr>
        <w:color w:val="000080"/>
        <w:u w:val="single" w:color="2C2F91"/>
      </w:rPr>
      <w:t>.0</w:t>
    </w:r>
  </w:p>
  <w:p w14:paraId="452BF32B" w14:textId="29D86DF7" w:rsidR="006D4114" w:rsidRPr="00040235" w:rsidRDefault="00ED12AE">
    <w:pPr>
      <w:pStyle w:val="Zkladntext"/>
      <w:spacing w:line="14" w:lineRule="auto"/>
      <w:rPr>
        <w:sz w:val="20"/>
      </w:rPr>
    </w:pPr>
    <w:r w:rsidRPr="00040235">
      <w:rPr>
        <w:noProof/>
      </w:rPr>
      <w:drawing>
        <wp:anchor distT="0" distB="0" distL="0" distR="0" simplePos="0" relativeHeight="251658752" behindDoc="1" locked="0" layoutInCell="1" allowOverlap="1" wp14:anchorId="436A3B5E" wp14:editId="5D746548">
          <wp:simplePos x="0" y="0"/>
          <wp:positionH relativeFrom="page">
            <wp:posOffset>679450</wp:posOffset>
          </wp:positionH>
          <wp:positionV relativeFrom="page">
            <wp:posOffset>396875</wp:posOffset>
          </wp:positionV>
          <wp:extent cx="1148308" cy="3416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48308" cy="341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65727"/>
    <w:multiLevelType w:val="hybridMultilevel"/>
    <w:tmpl w:val="6FDE29D4"/>
    <w:lvl w:ilvl="0" w:tplc="2DCA10B0">
      <w:start w:val="1"/>
      <w:numFmt w:val="decimal"/>
      <w:lvlText w:val="%1"/>
      <w:lvlJc w:val="left"/>
      <w:pPr>
        <w:ind w:left="448" w:hanging="132"/>
      </w:pPr>
      <w:rPr>
        <w:rFonts w:ascii="Calibri" w:eastAsia="Calibri" w:hAnsi="Calibri" w:cs="Calibri" w:hint="default"/>
        <w:b/>
        <w:bCs/>
        <w:spacing w:val="-2"/>
        <w:w w:val="99"/>
        <w:sz w:val="18"/>
        <w:szCs w:val="18"/>
      </w:rPr>
    </w:lvl>
    <w:lvl w:ilvl="1" w:tplc="8F5092AC">
      <w:numFmt w:val="bullet"/>
      <w:lvlText w:val="•"/>
      <w:lvlJc w:val="left"/>
      <w:pPr>
        <w:ind w:left="440" w:hanging="132"/>
      </w:pPr>
      <w:rPr>
        <w:rFonts w:hint="default"/>
      </w:rPr>
    </w:lvl>
    <w:lvl w:ilvl="2" w:tplc="35A80094">
      <w:numFmt w:val="bullet"/>
      <w:lvlText w:val="•"/>
      <w:lvlJc w:val="left"/>
      <w:pPr>
        <w:ind w:left="1334" w:hanging="132"/>
      </w:pPr>
      <w:rPr>
        <w:rFonts w:hint="default"/>
      </w:rPr>
    </w:lvl>
    <w:lvl w:ilvl="3" w:tplc="66AAEBAE">
      <w:numFmt w:val="bullet"/>
      <w:lvlText w:val="•"/>
      <w:lvlJc w:val="left"/>
      <w:pPr>
        <w:ind w:left="2229" w:hanging="132"/>
      </w:pPr>
      <w:rPr>
        <w:rFonts w:hint="default"/>
      </w:rPr>
    </w:lvl>
    <w:lvl w:ilvl="4" w:tplc="F8EAC9FE">
      <w:numFmt w:val="bullet"/>
      <w:lvlText w:val="•"/>
      <w:lvlJc w:val="left"/>
      <w:pPr>
        <w:ind w:left="3124" w:hanging="132"/>
      </w:pPr>
      <w:rPr>
        <w:rFonts w:hint="default"/>
      </w:rPr>
    </w:lvl>
    <w:lvl w:ilvl="5" w:tplc="AA866386">
      <w:numFmt w:val="bullet"/>
      <w:lvlText w:val="•"/>
      <w:lvlJc w:val="left"/>
      <w:pPr>
        <w:ind w:left="4019" w:hanging="132"/>
      </w:pPr>
      <w:rPr>
        <w:rFonts w:hint="default"/>
      </w:rPr>
    </w:lvl>
    <w:lvl w:ilvl="6" w:tplc="A2CA9520">
      <w:numFmt w:val="bullet"/>
      <w:lvlText w:val="•"/>
      <w:lvlJc w:val="left"/>
      <w:pPr>
        <w:ind w:left="4914" w:hanging="132"/>
      </w:pPr>
      <w:rPr>
        <w:rFonts w:hint="default"/>
      </w:rPr>
    </w:lvl>
    <w:lvl w:ilvl="7" w:tplc="5C0E1A58">
      <w:numFmt w:val="bullet"/>
      <w:lvlText w:val="•"/>
      <w:lvlJc w:val="left"/>
      <w:pPr>
        <w:ind w:left="5809" w:hanging="132"/>
      </w:pPr>
      <w:rPr>
        <w:rFonts w:hint="default"/>
      </w:rPr>
    </w:lvl>
    <w:lvl w:ilvl="8" w:tplc="E12AAA8C">
      <w:numFmt w:val="bullet"/>
      <w:lvlText w:val="•"/>
      <w:lvlJc w:val="left"/>
      <w:pPr>
        <w:ind w:left="6704" w:hanging="132"/>
      </w:pPr>
      <w:rPr>
        <w:rFonts w:hint="default"/>
      </w:rPr>
    </w:lvl>
  </w:abstractNum>
  <w:num w:numId="1" w16cid:durableId="37874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14"/>
    <w:rsid w:val="00040235"/>
    <w:rsid w:val="00047B00"/>
    <w:rsid w:val="000E7ECF"/>
    <w:rsid w:val="001F288F"/>
    <w:rsid w:val="00463C23"/>
    <w:rsid w:val="004C0F88"/>
    <w:rsid w:val="006D4114"/>
    <w:rsid w:val="009332D9"/>
    <w:rsid w:val="00B901DC"/>
    <w:rsid w:val="00ED12AE"/>
    <w:rsid w:val="00EE0858"/>
    <w:rsid w:val="00F31E25"/>
    <w:rsid w:val="00FB1AD4"/>
    <w:rsid w:val="00FD0CE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3D1D3"/>
  <w15:docId w15:val="{4906A9A6-6D19-4A76-B8C6-10DE2D2C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link w:val="Nadpis1Char"/>
    <w:uiPriority w:val="9"/>
    <w:qFormat/>
    <w:pPr>
      <w:spacing w:before="96"/>
      <w:ind w:left="187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  <w:ind w:left="62"/>
    </w:pPr>
  </w:style>
  <w:style w:type="paragraph" w:styleId="Zhlav">
    <w:name w:val="header"/>
    <w:basedOn w:val="Normln"/>
    <w:link w:val="ZhlavChar"/>
    <w:uiPriority w:val="99"/>
    <w:unhideWhenUsed/>
    <w:rsid w:val="000402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0235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0402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0235"/>
    <w:rPr>
      <w:rFonts w:ascii="Calibri" w:eastAsia="Calibri" w:hAnsi="Calibri" w:cs="Calibri"/>
    </w:rPr>
  </w:style>
  <w:style w:type="paragraph" w:customStyle="1" w:styleId="Default">
    <w:name w:val="Default"/>
    <w:rsid w:val="000E7ECF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F31E25"/>
    <w:rPr>
      <w:rFonts w:ascii="Arial" w:eastAsia="Arial" w:hAnsi="Arial" w:cs="Arial"/>
      <w:b/>
      <w:bCs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unhideWhenUsed/>
    <w:rsid w:val="00B901D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sukl.gov.cz" TargetMode="External"/><Relationship Id="rId2" Type="http://schemas.openxmlformats.org/officeDocument/2006/relationships/hyperlink" Target="http://www.sukl.cz/" TargetMode="External"/><Relationship Id="rId1" Type="http://schemas.openxmlformats.org/officeDocument/2006/relationships/hyperlink" Target="mailto:posta@sukl.gov.cz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ukl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Datové-rozhraní-SUKL-SCAU_UHRX-LP_260101-verze 21.docx</dc:title>
  <dc:creator>Krkonošková Klára</dc:creator>
  <cp:lastModifiedBy>Obstová Tamara</cp:lastModifiedBy>
  <cp:revision>2</cp:revision>
  <dcterms:created xsi:type="dcterms:W3CDTF">2025-11-07T11:09:00Z</dcterms:created>
  <dcterms:modified xsi:type="dcterms:W3CDTF">2025-11-07T11:09:00Z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2025-03-13T00:00:00Z</vt:filetime>
  </property>
</Properties>
</file>