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665"/>
      </w:tblGrid>
      <w:tr w:rsidR="006617D5" w14:paraId="0351D13C" w14:textId="77777777" w:rsidTr="000B46EF">
        <w:trPr>
          <w:trHeight w:hRule="exact" w:val="3782"/>
        </w:trPr>
        <w:tc>
          <w:tcPr>
            <w:tcW w:w="3399" w:type="dxa"/>
          </w:tcPr>
          <w:p w14:paraId="2E311DAD" w14:textId="77777777" w:rsidR="00A96180" w:rsidRPr="00A96180" w:rsidRDefault="00A96180" w:rsidP="00C35B9B">
            <w:pPr>
              <w:pStyle w:val="TableParagraph"/>
              <w:ind w:left="105"/>
              <w:jc w:val="left"/>
              <w:rPr>
                <w:b/>
              </w:rPr>
            </w:pPr>
            <w:r w:rsidRPr="00A96180">
              <w:rPr>
                <w:b/>
              </w:rPr>
              <w:t>Submission of notification</w:t>
            </w:r>
          </w:p>
          <w:p w14:paraId="62D0ADA9" w14:textId="4C7DBE2C" w:rsidR="00A96180" w:rsidRPr="00A96180" w:rsidRDefault="00FA5BD2" w:rsidP="00C35B9B">
            <w:pPr>
              <w:pStyle w:val="TableParagraph"/>
              <w:tabs>
                <w:tab w:val="left" w:pos="1362"/>
                <w:tab w:val="left" w:pos="2974"/>
              </w:tabs>
              <w:ind w:left="105" w:right="97"/>
              <w:jc w:val="left"/>
              <w:rPr>
                <w:b/>
              </w:rPr>
            </w:pPr>
            <w:r>
              <w:rPr>
                <w:b/>
              </w:rPr>
              <w:t xml:space="preserve">of </w:t>
            </w:r>
            <w:r w:rsidR="00A96180" w:rsidRPr="00A96180">
              <w:rPr>
                <w:b/>
              </w:rPr>
              <w:t xml:space="preserve">the performance </w:t>
            </w:r>
            <w:r w:rsidR="00A96180">
              <w:rPr>
                <w:b/>
              </w:rPr>
              <w:t xml:space="preserve">study </w:t>
            </w:r>
            <w:r w:rsidR="00A96180" w:rsidRPr="00A96180">
              <w:rPr>
                <w:b/>
              </w:rPr>
              <w:t xml:space="preserve">(hereinafter </w:t>
            </w:r>
            <w:r w:rsidR="000B46EF">
              <w:rPr>
                <w:b/>
              </w:rPr>
              <w:t>referred to as</w:t>
            </w:r>
            <w:r w:rsidR="00A96180" w:rsidRPr="00A96180">
              <w:rPr>
                <w:b/>
              </w:rPr>
              <w:t xml:space="preserve"> "</w:t>
            </w:r>
            <w:r w:rsidR="00A96180">
              <w:rPr>
                <w:b/>
              </w:rPr>
              <w:t>PS</w:t>
            </w:r>
            <w:r w:rsidR="00A96180" w:rsidRPr="00A96180">
              <w:rPr>
                <w:b/>
              </w:rPr>
              <w:t>") pursuant to Article 58, paragraph 2, second and third sentences of Regulation (EU) 2017/746 of the European Parliament and of the Council of</w:t>
            </w:r>
            <w:r w:rsidR="00C35B9B">
              <w:rPr>
                <w:b/>
              </w:rPr>
              <w:t xml:space="preserve"> </w:t>
            </w:r>
            <w:r w:rsidR="00A96180" w:rsidRPr="00A96180">
              <w:rPr>
                <w:b/>
              </w:rPr>
              <w:t>April 5, 2017</w:t>
            </w:r>
            <w:r w:rsidR="007560BE">
              <w:rPr>
                <w:b/>
              </w:rPr>
              <w:t>,</w:t>
            </w:r>
            <w:r w:rsidR="00A96180" w:rsidRPr="00A96180">
              <w:rPr>
                <w:b/>
              </w:rPr>
              <w:t xml:space="preserve"> on in vitro diagnostic medical devices and on the repeal of Council Directive 98/79/EC and Commission Decision 2010/227/EU (hereinafter </w:t>
            </w:r>
            <w:r w:rsidR="000B46EF">
              <w:rPr>
                <w:b/>
              </w:rPr>
              <w:t>referred to as</w:t>
            </w:r>
          </w:p>
          <w:p w14:paraId="6ADA5882" w14:textId="7AA319B6" w:rsidR="006617D5" w:rsidRDefault="00A96180" w:rsidP="00C35B9B">
            <w:pPr>
              <w:pStyle w:val="TableParagraph"/>
              <w:ind w:left="105"/>
              <w:jc w:val="left"/>
              <w:rPr>
                <w:b/>
              </w:rPr>
            </w:pPr>
            <w:r w:rsidRPr="00A96180">
              <w:rPr>
                <w:b/>
              </w:rPr>
              <w:t>"IVDR")</w:t>
            </w:r>
          </w:p>
        </w:tc>
        <w:tc>
          <w:tcPr>
            <w:tcW w:w="5665" w:type="dxa"/>
          </w:tcPr>
          <w:p w14:paraId="314C5499" w14:textId="3DC6DADD" w:rsidR="00522A7E" w:rsidRDefault="00A96180">
            <w:pPr>
              <w:pStyle w:val="TableParagraph"/>
              <w:ind w:right="98"/>
            </w:pPr>
            <w:r w:rsidRPr="00A96180">
              <w:t xml:space="preserve">Notifications can be submitted </w:t>
            </w:r>
            <w:r w:rsidR="000B46EF">
              <w:t xml:space="preserve">either </w:t>
            </w:r>
            <w:r w:rsidR="000865A1">
              <w:t xml:space="preserve">via </w:t>
            </w:r>
            <w:r>
              <w:t>SÚKL</w:t>
            </w:r>
            <w:r w:rsidRPr="00A96180">
              <w:t xml:space="preserve"> data box or </w:t>
            </w:r>
            <w:r w:rsidR="00FA5BD2">
              <w:t>via</w:t>
            </w:r>
            <w:r w:rsidRPr="00A96180">
              <w:t xml:space="preserve"> post</w:t>
            </w:r>
            <w:r w:rsidR="00FA5BD2">
              <w:t>al services</w:t>
            </w:r>
            <w:r w:rsidRPr="00A96180">
              <w:t xml:space="preserve"> to the </w:t>
            </w:r>
            <w:r>
              <w:t>SÚKL</w:t>
            </w:r>
            <w:r w:rsidRPr="00A96180">
              <w:t xml:space="preserve"> filing office, always also in electronic form</w:t>
            </w:r>
            <w:r w:rsidR="00522A7E">
              <w:t>at</w:t>
            </w:r>
            <w:r w:rsidRPr="00A96180">
              <w:t xml:space="preserve"> (e.g. on CD or DVD in the case of submission </w:t>
            </w:r>
            <w:r w:rsidR="00FA5BD2">
              <w:t>via</w:t>
            </w:r>
            <w:r w:rsidRPr="00A96180">
              <w:t xml:space="preserve"> post</w:t>
            </w:r>
            <w:r w:rsidR="00FA5BD2">
              <w:t>al services</w:t>
            </w:r>
            <w:r w:rsidRPr="00A96180">
              <w:t>).</w:t>
            </w:r>
          </w:p>
          <w:p w14:paraId="5582505D" w14:textId="747E6DEF" w:rsidR="006617D5" w:rsidRDefault="00FA5BD2">
            <w:pPr>
              <w:pStyle w:val="TableParagraph"/>
              <w:ind w:right="98"/>
            </w:pPr>
            <w:r>
              <w:t>A</w:t>
            </w:r>
            <w:r w:rsidR="00A96180" w:rsidRPr="00A96180">
              <w:t xml:space="preserve">ll documents </w:t>
            </w:r>
            <w:r>
              <w:t>should be submitted i</w:t>
            </w:r>
            <w:r w:rsidR="00A96180" w:rsidRPr="00A96180">
              <w:t xml:space="preserve">n PDF format </w:t>
            </w:r>
            <w:r w:rsidR="007560BE">
              <w:t xml:space="preserve">to be </w:t>
            </w:r>
            <w:r w:rsidR="00A96180" w:rsidRPr="00A96180">
              <w:t>text searchable.</w:t>
            </w:r>
          </w:p>
        </w:tc>
      </w:tr>
      <w:tr w:rsidR="006617D5" w14:paraId="46C154F8" w14:textId="77777777" w:rsidTr="00182B27">
        <w:trPr>
          <w:trHeight w:hRule="exact" w:val="1423"/>
        </w:trPr>
        <w:tc>
          <w:tcPr>
            <w:tcW w:w="3399" w:type="dxa"/>
          </w:tcPr>
          <w:p w14:paraId="65CA994A" w14:textId="6576BEBE" w:rsidR="006617D5" w:rsidRDefault="00A96180" w:rsidP="00C35B9B">
            <w:pPr>
              <w:pStyle w:val="TableParagraph"/>
              <w:tabs>
                <w:tab w:val="left" w:pos="1362"/>
                <w:tab w:val="left" w:pos="2974"/>
              </w:tabs>
              <w:ind w:left="105" w:right="97"/>
              <w:rPr>
                <w:b/>
              </w:rPr>
            </w:pPr>
            <w:r w:rsidRPr="00A96180">
              <w:rPr>
                <w:b/>
              </w:rPr>
              <w:t xml:space="preserve">List of documents for the simplified submission of notification of </w:t>
            </w:r>
            <w:r>
              <w:rPr>
                <w:b/>
              </w:rPr>
              <w:t>PS pursuant</w:t>
            </w:r>
            <w:r w:rsidRPr="00A96180">
              <w:rPr>
                <w:b/>
              </w:rPr>
              <w:t xml:space="preserve"> to Article 58, paragraph 2, sentence two of the IVDR</w:t>
            </w:r>
          </w:p>
        </w:tc>
        <w:tc>
          <w:tcPr>
            <w:tcW w:w="5665" w:type="dxa"/>
          </w:tcPr>
          <w:p w14:paraId="2867A50B" w14:textId="77777777" w:rsidR="006617D5" w:rsidRDefault="006617D5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  <w:p w14:paraId="2B3365D2" w14:textId="77777777" w:rsidR="006617D5" w:rsidRDefault="006617D5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24"/>
              </w:rPr>
            </w:pPr>
          </w:p>
          <w:p w14:paraId="6DD6066C" w14:textId="1DB4448C" w:rsidR="006617D5" w:rsidRDefault="00A96180">
            <w:pPr>
              <w:pStyle w:val="TableParagraph"/>
              <w:ind w:left="2338" w:right="2339"/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6617D5" w14:paraId="7420FBA8" w14:textId="77777777" w:rsidTr="00C35B9B">
        <w:trPr>
          <w:trHeight w:hRule="exact" w:val="3572"/>
        </w:trPr>
        <w:tc>
          <w:tcPr>
            <w:tcW w:w="3399" w:type="dxa"/>
          </w:tcPr>
          <w:p w14:paraId="01E59221" w14:textId="63A5B058" w:rsidR="006617D5" w:rsidRDefault="008E316D">
            <w:pPr>
              <w:pStyle w:val="TableParagraph"/>
              <w:spacing w:line="265" w:lineRule="exact"/>
              <w:ind w:left="105"/>
              <w:jc w:val="left"/>
            </w:pPr>
            <w:r>
              <w:t xml:space="preserve">Cover </w:t>
            </w:r>
            <w:r w:rsidR="00F73CD9">
              <w:t>l</w:t>
            </w:r>
            <w:r>
              <w:t xml:space="preserve">etter </w:t>
            </w:r>
            <w:r w:rsidR="007560BE">
              <w:t xml:space="preserve">by the </w:t>
            </w:r>
            <w:r w:rsidR="00F73CD9">
              <w:t>a</w:t>
            </w:r>
            <w:r w:rsidR="007560BE">
              <w:t>pplicant</w:t>
            </w:r>
          </w:p>
        </w:tc>
        <w:tc>
          <w:tcPr>
            <w:tcW w:w="5665" w:type="dxa"/>
          </w:tcPr>
          <w:p w14:paraId="2D37602D" w14:textId="10C7337E" w:rsidR="00522A7E" w:rsidRDefault="008E316D">
            <w:pPr>
              <w:pStyle w:val="TableParagraph"/>
              <w:ind w:right="98"/>
            </w:pPr>
            <w:r>
              <w:t xml:space="preserve">SÚKL </w:t>
            </w:r>
            <w:r w:rsidR="00182B27">
              <w:t xml:space="preserve">strongly </w:t>
            </w:r>
            <w:r w:rsidRPr="008E316D">
              <w:t xml:space="preserve">recommends </w:t>
            </w:r>
            <w:r>
              <w:t>applicant</w:t>
            </w:r>
            <w:r w:rsidR="000865A1">
              <w:t>s</w:t>
            </w:r>
            <w:r w:rsidRPr="008E316D">
              <w:t xml:space="preserve"> </w:t>
            </w:r>
            <w:r w:rsidR="00F73CD9">
              <w:t xml:space="preserve">to </w:t>
            </w:r>
            <w:r w:rsidR="00182B27">
              <w:t xml:space="preserve">set up </w:t>
            </w:r>
            <w:r w:rsidRPr="008E316D">
              <w:t xml:space="preserve">a data box, </w:t>
            </w:r>
            <w:r>
              <w:t xml:space="preserve">for </w:t>
            </w:r>
            <w:r w:rsidRPr="008E316D">
              <w:t xml:space="preserve">more information </w:t>
            </w:r>
            <w:r>
              <w:t>see</w:t>
            </w:r>
            <w:r w:rsidRPr="008E316D">
              <w:t xml:space="preserve">: </w:t>
            </w:r>
            <w:hyperlink r:id="rId9" w:history="1">
              <w:r w:rsidRPr="008E316D">
                <w:rPr>
                  <w:rStyle w:val="Hypertextovodkaz"/>
                </w:rPr>
                <w:t>Data Mailbox Set-up for Foreign Entities, State Institute for Drug Control (sukl.eu)</w:t>
              </w:r>
            </w:hyperlink>
            <w:r>
              <w:t>.</w:t>
            </w:r>
            <w:r w:rsidRPr="008E316D">
              <w:t xml:space="preserve"> </w:t>
            </w:r>
          </w:p>
          <w:p w14:paraId="713AE41B" w14:textId="450F2F22" w:rsidR="00522A7E" w:rsidRPr="00372286" w:rsidRDefault="000B46EF" w:rsidP="00372286">
            <w:pPr>
              <w:pStyle w:val="TableParagraph"/>
              <w:ind w:right="95"/>
              <w:rPr>
                <w:lang w:val="en-GB"/>
              </w:rPr>
            </w:pPr>
            <w:r>
              <w:rPr>
                <w:lang w:val="en-GB"/>
              </w:rPr>
              <w:t>Please note that if</w:t>
            </w:r>
            <w:r w:rsidR="005D35CD" w:rsidRPr="00C0772D">
              <w:rPr>
                <w:lang w:val="en-GB"/>
              </w:rPr>
              <w:t xml:space="preserve"> the applicant </w:t>
            </w:r>
            <w:r>
              <w:rPr>
                <w:lang w:val="en-GB"/>
              </w:rPr>
              <w:t xml:space="preserve">fails to </w:t>
            </w:r>
            <w:r w:rsidR="005D35CD" w:rsidRPr="00C0772D">
              <w:rPr>
                <w:lang w:val="en-GB"/>
              </w:rPr>
              <w:t>do so, they will be communicated via postal services</w:t>
            </w:r>
            <w:r w:rsidR="008E316D" w:rsidRPr="008E316D">
              <w:t xml:space="preserve">, </w:t>
            </w:r>
            <w:r w:rsidR="00372286" w:rsidRPr="00C0772D">
              <w:rPr>
                <w:lang w:val="en-GB"/>
              </w:rPr>
              <w:t xml:space="preserve">which creates significant barriers in communication and extends the application processing time. </w:t>
            </w:r>
          </w:p>
          <w:p w14:paraId="5908D878" w14:textId="1A695D71" w:rsidR="00182B27" w:rsidRDefault="00F73CD9">
            <w:pPr>
              <w:pStyle w:val="TableParagraph"/>
              <w:ind w:right="98"/>
            </w:pPr>
            <w:r>
              <w:t>T</w:t>
            </w:r>
            <w:r w:rsidR="008E316D" w:rsidRPr="008E316D">
              <w:t>he cover letter</w:t>
            </w:r>
            <w:r>
              <w:t xml:space="preserve"> should include</w:t>
            </w:r>
            <w:r w:rsidR="008E316D" w:rsidRPr="008E316D">
              <w:t xml:space="preserve"> as much </w:t>
            </w:r>
            <w:r w:rsidR="00182B27">
              <w:t xml:space="preserve">detailed </w:t>
            </w:r>
            <w:r w:rsidR="008E316D" w:rsidRPr="008E316D">
              <w:t xml:space="preserve">contact information as possible </w:t>
            </w:r>
            <w:r>
              <w:t xml:space="preserve">and </w:t>
            </w:r>
            <w:r w:rsidR="000865A1">
              <w:t xml:space="preserve">a </w:t>
            </w:r>
            <w:r>
              <w:t>summar</w:t>
            </w:r>
            <w:r w:rsidR="000865A1">
              <w:t>y of</w:t>
            </w:r>
            <w:r>
              <w:t xml:space="preserve"> </w:t>
            </w:r>
            <w:r w:rsidR="008E316D" w:rsidRPr="008E316D">
              <w:t>the content of the</w:t>
            </w:r>
            <w:r w:rsidR="00182B27">
              <w:t xml:space="preserve"> application</w:t>
            </w:r>
            <w:r w:rsidR="008E316D" w:rsidRPr="008E316D">
              <w:t xml:space="preserve">. </w:t>
            </w:r>
          </w:p>
          <w:p w14:paraId="33EC77FB" w14:textId="445EFFCE" w:rsidR="00182B27" w:rsidRDefault="00182B27">
            <w:pPr>
              <w:pStyle w:val="TableParagraph"/>
              <w:ind w:right="98"/>
            </w:pPr>
            <w:r>
              <w:t>S</w:t>
            </w:r>
            <w:r w:rsidR="008E316D" w:rsidRPr="008E316D">
              <w:t xml:space="preserve">ee also </w:t>
            </w:r>
            <w:r w:rsidR="00172D78">
              <w:t>the point</w:t>
            </w:r>
            <w:r w:rsidR="008E316D" w:rsidRPr="008E316D">
              <w:t xml:space="preserve"> </w:t>
            </w:r>
            <w:r>
              <w:t>“</w:t>
            </w:r>
            <w:r w:rsidR="00FB2D09">
              <w:t xml:space="preserve">Filled-in </w:t>
            </w:r>
            <w:r w:rsidR="008E316D" w:rsidRPr="008E316D">
              <w:t>form</w:t>
            </w:r>
            <w:r>
              <w:t>”</w:t>
            </w:r>
            <w:r w:rsidR="008E316D" w:rsidRPr="008E316D">
              <w:t>.</w:t>
            </w:r>
            <w:r>
              <w:t xml:space="preserve"> </w:t>
            </w:r>
          </w:p>
          <w:p w14:paraId="5F239BE8" w14:textId="0B886292" w:rsidR="009F04C4" w:rsidRPr="008E316D" w:rsidRDefault="00182B27" w:rsidP="003A77F3">
            <w:pPr>
              <w:pStyle w:val="TableParagraph"/>
              <w:ind w:right="98"/>
              <w:rPr>
                <w:strike/>
              </w:rPr>
            </w:pPr>
            <w:r>
              <w:t>T</w:t>
            </w:r>
            <w:r w:rsidR="008E316D" w:rsidRPr="008E316D">
              <w:t xml:space="preserve">he document </w:t>
            </w:r>
            <w:r>
              <w:t xml:space="preserve">is to be submitted </w:t>
            </w:r>
            <w:r w:rsidR="008E316D" w:rsidRPr="008E316D">
              <w:t xml:space="preserve">in PDF format </w:t>
            </w:r>
            <w:r w:rsidR="00F73CD9">
              <w:t xml:space="preserve">to enable text search. </w:t>
            </w:r>
          </w:p>
        </w:tc>
      </w:tr>
      <w:tr w:rsidR="006617D5" w14:paraId="6BBF48DA" w14:textId="77777777" w:rsidTr="00C35B9B">
        <w:trPr>
          <w:trHeight w:hRule="exact" w:val="3175"/>
        </w:trPr>
        <w:tc>
          <w:tcPr>
            <w:tcW w:w="3399" w:type="dxa"/>
          </w:tcPr>
          <w:p w14:paraId="50CFC4D1" w14:textId="77777777" w:rsidR="006617D5" w:rsidRDefault="008E316D" w:rsidP="007560BE">
            <w:pPr>
              <w:pStyle w:val="TableParagraph"/>
              <w:ind w:left="105" w:right="100"/>
            </w:pPr>
            <w:r>
              <w:t xml:space="preserve"> </w:t>
            </w:r>
            <w:r w:rsidR="00456A53" w:rsidRPr="009532CB">
              <w:t xml:space="preserve">Power of attorney for the </w:t>
            </w:r>
            <w:r w:rsidR="00456A53">
              <w:t xml:space="preserve">legal </w:t>
            </w:r>
            <w:r w:rsidR="00456A53" w:rsidRPr="009532CB">
              <w:t xml:space="preserve">representative of the </w:t>
            </w:r>
            <w:r w:rsidR="00456A53">
              <w:t>sponsor</w:t>
            </w:r>
            <w:r w:rsidR="00456A53" w:rsidRPr="009532CB">
              <w:t>, including the power of attorney for the acting employee (multiple files can be added) - principal/</w:t>
            </w:r>
            <w:r w:rsidR="003E7596">
              <w:t xml:space="preserve">authorized </w:t>
            </w:r>
            <w:r w:rsidR="00456A53">
              <w:t>legal representative</w:t>
            </w:r>
            <w:r w:rsidR="00456A53" w:rsidRPr="009532CB">
              <w:t>/date</w:t>
            </w:r>
            <w:r w:rsidR="00456A53">
              <w:t xml:space="preserve"> </w:t>
            </w:r>
          </w:p>
          <w:p w14:paraId="6CAE545F" w14:textId="6E665AB0" w:rsidR="00FB2D09" w:rsidRPr="00FB2D09" w:rsidRDefault="00FB2D09" w:rsidP="003A77F3">
            <w:pPr>
              <w:tabs>
                <w:tab w:val="left" w:pos="2580"/>
              </w:tabs>
            </w:pPr>
          </w:p>
        </w:tc>
        <w:tc>
          <w:tcPr>
            <w:tcW w:w="5665" w:type="dxa"/>
          </w:tcPr>
          <w:p w14:paraId="44966602" w14:textId="43115A1C" w:rsidR="003E7596" w:rsidRDefault="003E7596">
            <w:pPr>
              <w:pStyle w:val="TableParagraph"/>
              <w:spacing w:line="259" w:lineRule="auto"/>
              <w:ind w:right="22"/>
              <w:jc w:val="left"/>
            </w:pPr>
            <w:r w:rsidRPr="007560BE">
              <w:rPr>
                <w:lang w:val="en-GB"/>
              </w:rPr>
              <w:t>Without the correct power of attorney</w:t>
            </w:r>
            <w:r w:rsidR="00071E53">
              <w:rPr>
                <w:lang w:val="en-GB"/>
              </w:rPr>
              <w:t>,</w:t>
            </w:r>
            <w:r w:rsidRPr="007560BE">
              <w:rPr>
                <w:lang w:val="en-GB"/>
              </w:rPr>
              <w:t xml:space="preserve"> </w:t>
            </w:r>
            <w:r w:rsidR="00071E53" w:rsidRPr="007560BE">
              <w:rPr>
                <w:lang w:val="en-GB"/>
              </w:rPr>
              <w:t xml:space="preserve">duly </w:t>
            </w:r>
            <w:r w:rsidRPr="007560BE">
              <w:rPr>
                <w:lang w:val="en-GB"/>
              </w:rPr>
              <w:t>documented</w:t>
            </w:r>
            <w:r w:rsidR="00071E53">
              <w:t xml:space="preserve"> </w:t>
            </w:r>
            <w:r>
              <w:t xml:space="preserve">in accordance with the provisions of </w:t>
            </w:r>
            <w:r w:rsidRPr="0040665E">
              <w:t xml:space="preserve">the Administrative Code </w:t>
            </w:r>
            <w:r>
              <w:t>of the Czech Republic, the proceedings will no</w:t>
            </w:r>
            <w:r w:rsidR="00927BD3">
              <w:t>t be initiated</w:t>
            </w:r>
            <w:r>
              <w:t xml:space="preserve">. Please pay attention to the information on requirements for powers of attorney. We remind you that, in the case of companion diagnostics, the power of attorney must also cover </w:t>
            </w:r>
            <w:r w:rsidR="000865A1">
              <w:t xml:space="preserve">conducting </w:t>
            </w:r>
            <w:r>
              <w:t>PS.</w:t>
            </w:r>
          </w:p>
          <w:p w14:paraId="14D45F04" w14:textId="5A4F8314" w:rsidR="003E7596" w:rsidRDefault="003E7596">
            <w:pPr>
              <w:pStyle w:val="TableParagraph"/>
              <w:spacing w:line="259" w:lineRule="auto"/>
              <w:ind w:right="22"/>
              <w:jc w:val="left"/>
            </w:pPr>
            <w:r>
              <w:t xml:space="preserve">Important! </w:t>
            </w:r>
            <w:r w:rsidR="008C2791">
              <w:t xml:space="preserve">It must be evident from the wording of the power of attorney </w:t>
            </w:r>
            <w:r>
              <w:t xml:space="preserve">that the subject of the power of attorney is </w:t>
            </w:r>
            <w:r w:rsidR="008C2791">
              <w:t xml:space="preserve">conducting </w:t>
            </w:r>
            <w:r w:rsidR="00522A7E">
              <w:t>the</w:t>
            </w:r>
            <w:r w:rsidR="00927BD3">
              <w:t xml:space="preserve"> </w:t>
            </w:r>
            <w:r>
              <w:t>PS pursuant to the provisions of IVDR.</w:t>
            </w:r>
          </w:p>
          <w:p w14:paraId="32AB2BE2" w14:textId="3287B129" w:rsidR="006617D5" w:rsidRDefault="006617D5" w:rsidP="003A77F3">
            <w:pPr>
              <w:pStyle w:val="TableParagraph"/>
              <w:spacing w:before="162"/>
              <w:ind w:left="0" w:right="99"/>
            </w:pPr>
          </w:p>
        </w:tc>
      </w:tr>
      <w:tr w:rsidR="006617D5" w14:paraId="0093EADE" w14:textId="77777777" w:rsidTr="003A77F3">
        <w:trPr>
          <w:trHeight w:hRule="exact" w:val="12910"/>
        </w:trPr>
        <w:tc>
          <w:tcPr>
            <w:tcW w:w="3399" w:type="dxa"/>
          </w:tcPr>
          <w:p w14:paraId="245AC58A" w14:textId="6F41EBA1" w:rsidR="006617D5" w:rsidRDefault="00FB2D09">
            <w:pPr>
              <w:pStyle w:val="TableParagraph"/>
              <w:ind w:left="105" w:right="98"/>
            </w:pPr>
            <w:r>
              <w:lastRenderedPageBreak/>
              <w:t>”Filled-in form”</w:t>
            </w:r>
          </w:p>
        </w:tc>
        <w:tc>
          <w:tcPr>
            <w:tcW w:w="5665" w:type="dxa"/>
          </w:tcPr>
          <w:p w14:paraId="708EE6EE" w14:textId="7C117A1A" w:rsidR="003E7596" w:rsidRDefault="003E7596" w:rsidP="003E7596">
            <w:pPr>
              <w:pStyle w:val="TableParagraph"/>
              <w:ind w:right="97"/>
            </w:pPr>
            <w:r>
              <w:t>The form (if not yet available, the following information must be clearly stated in the Cover Letter) must contain:</w:t>
            </w:r>
          </w:p>
          <w:p w14:paraId="2956C3D5" w14:textId="6EF51E27" w:rsidR="00C45E3E" w:rsidRDefault="000B0747" w:rsidP="009F04C4">
            <w:pPr>
              <w:pStyle w:val="TableParagraph"/>
              <w:numPr>
                <w:ilvl w:val="0"/>
                <w:numId w:val="1"/>
              </w:numPr>
              <w:ind w:right="97"/>
            </w:pPr>
            <w:r>
              <w:t>T</w:t>
            </w:r>
            <w:r w:rsidR="003E7596">
              <w:t xml:space="preserve">he </w:t>
            </w:r>
            <w:r w:rsidR="004F002F">
              <w:t>name</w:t>
            </w:r>
            <w:r>
              <w:t>,</w:t>
            </w:r>
            <w:r w:rsidR="004F002F">
              <w:t xml:space="preserve"> </w:t>
            </w:r>
            <w:r w:rsidR="003E7596">
              <w:t xml:space="preserve">address </w:t>
            </w:r>
            <w:r>
              <w:t>and contact details of the sponsor</w:t>
            </w:r>
            <w:r w:rsidR="00F30D12">
              <w:t>. T</w:t>
            </w:r>
            <w:r w:rsidR="00071E53" w:rsidRPr="009B5EB3">
              <w:t>he</w:t>
            </w:r>
            <w:r w:rsidR="00071E53">
              <w:t>re is always</w:t>
            </w:r>
            <w:r w:rsidR="00071E53" w:rsidRPr="009B5EB3">
              <w:t xml:space="preserve"> </w:t>
            </w:r>
            <w:r w:rsidR="00071E53">
              <w:t>one sponsor</w:t>
            </w:r>
            <w:r w:rsidR="00071E53" w:rsidRPr="009B5EB3">
              <w:t xml:space="preserve"> </w:t>
            </w:r>
            <w:r w:rsidR="00071E53">
              <w:t>bearing</w:t>
            </w:r>
            <w:r w:rsidR="00071E53" w:rsidRPr="00A86FF2">
              <w:t xml:space="preserve"> full responsibility for </w:t>
            </w:r>
            <w:r w:rsidR="00172D78">
              <w:t>all</w:t>
            </w:r>
            <w:r w:rsidR="00071E53">
              <w:t xml:space="preserve"> </w:t>
            </w:r>
            <w:r w:rsidR="0010584C">
              <w:t xml:space="preserve">the </w:t>
            </w:r>
            <w:r w:rsidR="00071E53">
              <w:t xml:space="preserve">companies they share responsibility with. </w:t>
            </w:r>
          </w:p>
          <w:p w14:paraId="52F86789" w14:textId="399474B5" w:rsidR="00071E53" w:rsidRDefault="00071E53" w:rsidP="007560BE">
            <w:pPr>
              <w:pStyle w:val="TableParagraph"/>
              <w:numPr>
                <w:ilvl w:val="0"/>
                <w:numId w:val="1"/>
              </w:numPr>
              <w:ind w:right="97"/>
            </w:pPr>
            <w:r w:rsidRPr="009B5EB3">
              <w:t xml:space="preserve">In the case of </w:t>
            </w:r>
            <w:r>
              <w:t>sponsors</w:t>
            </w:r>
            <w:r w:rsidR="00522A7E">
              <w:t xml:space="preserve"> not established in the Union</w:t>
            </w:r>
            <w:r w:rsidRPr="009B5EB3">
              <w:t xml:space="preserve">, </w:t>
            </w:r>
            <w:r w:rsidR="00F077FF">
              <w:t>their</w:t>
            </w:r>
            <w:r w:rsidRPr="009B5EB3">
              <w:t xml:space="preserve"> </w:t>
            </w:r>
            <w:r w:rsidR="000B0747">
              <w:t>legal</w:t>
            </w:r>
            <w:r w:rsidRPr="009B5EB3">
              <w:t xml:space="preserve"> representative </w:t>
            </w:r>
            <w:r w:rsidR="000B0747">
              <w:t xml:space="preserve">established in the </w:t>
            </w:r>
            <w:r w:rsidR="000B46EF">
              <w:t>Union</w:t>
            </w:r>
            <w:r w:rsidR="000B0747">
              <w:t xml:space="preserve"> </w:t>
            </w:r>
            <w:r w:rsidRPr="009B5EB3">
              <w:t>must be</w:t>
            </w:r>
            <w:r>
              <w:t xml:space="preserve"> appointed </w:t>
            </w:r>
            <w:r w:rsidR="00F30D12">
              <w:t xml:space="preserve">and </w:t>
            </w:r>
            <w:r w:rsidR="00522A7E">
              <w:t xml:space="preserve">duly </w:t>
            </w:r>
            <w:r w:rsidR="00F30D12">
              <w:t xml:space="preserve">documented in the form, </w:t>
            </w:r>
            <w:r>
              <w:t xml:space="preserve">including the </w:t>
            </w:r>
            <w:r w:rsidR="00C45E3E">
              <w:t>name</w:t>
            </w:r>
            <w:r w:rsidR="000B0747">
              <w:t>,</w:t>
            </w:r>
            <w:r w:rsidR="00104BC4">
              <w:t xml:space="preserve"> </w:t>
            </w:r>
            <w:r>
              <w:t>address and contact details.</w:t>
            </w:r>
          </w:p>
          <w:p w14:paraId="4F702F4E" w14:textId="58099830" w:rsidR="00071E53" w:rsidRDefault="00071E53" w:rsidP="007560BE">
            <w:pPr>
              <w:pStyle w:val="TableParagraph"/>
              <w:numPr>
                <w:ilvl w:val="0"/>
                <w:numId w:val="1"/>
              </w:numPr>
              <w:ind w:right="97"/>
            </w:pPr>
            <w:r>
              <w:t xml:space="preserve">The </w:t>
            </w:r>
            <w:r w:rsidR="00124A00">
              <w:t>name, address and contact details of the manufacturer of the companion diagnostic to be subjected to a performance evaluation</w:t>
            </w:r>
            <w:r>
              <w:t xml:space="preserve"> (</w:t>
            </w:r>
            <w:r w:rsidR="00F30D12">
              <w:t>similarly as in the case of sponsors</w:t>
            </w:r>
            <w:r>
              <w:t xml:space="preserve">, there is </w:t>
            </w:r>
            <w:r w:rsidR="00522A7E">
              <w:t xml:space="preserve">always </w:t>
            </w:r>
            <w:r>
              <w:t>one manufacturer</w:t>
            </w:r>
            <w:r w:rsidR="00522A7E">
              <w:t xml:space="preserve"> only</w:t>
            </w:r>
            <w:r>
              <w:t>).</w:t>
            </w:r>
          </w:p>
          <w:p w14:paraId="4AC0069E" w14:textId="609F9A51" w:rsidR="00071E53" w:rsidRDefault="00071E53" w:rsidP="007560BE">
            <w:pPr>
              <w:pStyle w:val="TableParagraph"/>
              <w:numPr>
                <w:ilvl w:val="0"/>
                <w:numId w:val="1"/>
              </w:numPr>
              <w:ind w:right="97"/>
            </w:pPr>
            <w:r>
              <w:t>I</w:t>
            </w:r>
            <w:r w:rsidR="0010584C">
              <w:t>n addition, i</w:t>
            </w:r>
            <w:r>
              <w:t xml:space="preserve">t is necessary to indicate the ultimate </w:t>
            </w:r>
            <w:r w:rsidR="0056705E">
              <w:t xml:space="preserve">legal </w:t>
            </w:r>
            <w:r>
              <w:t xml:space="preserve">representative of the </w:t>
            </w:r>
            <w:r w:rsidR="00C45E3E">
              <w:t>sponsor</w:t>
            </w:r>
            <w:r>
              <w:t xml:space="preserve"> who will</w:t>
            </w:r>
            <w:r w:rsidR="00C45E3E">
              <w:t xml:space="preserve"> submit</w:t>
            </w:r>
            <w:r>
              <w:t xml:space="preserve"> the notification </w:t>
            </w:r>
            <w:r w:rsidR="00172D78">
              <w:t xml:space="preserve">on the basis of a </w:t>
            </w:r>
            <w:r w:rsidR="00C45E3E">
              <w:t>power of attorney</w:t>
            </w:r>
            <w:r>
              <w:t>, including the</w:t>
            </w:r>
            <w:r w:rsidR="00104BC4">
              <w:t xml:space="preserve"> name, address </w:t>
            </w:r>
            <w:r>
              <w:t xml:space="preserve">and contact </w:t>
            </w:r>
            <w:r w:rsidR="00104BC4">
              <w:t>details</w:t>
            </w:r>
            <w:r>
              <w:t>.</w:t>
            </w:r>
          </w:p>
          <w:p w14:paraId="510DE88D" w14:textId="47772EC8" w:rsidR="00071E53" w:rsidRDefault="00071E53" w:rsidP="007560BE">
            <w:pPr>
              <w:pStyle w:val="TableParagraph"/>
              <w:numPr>
                <w:ilvl w:val="0"/>
                <w:numId w:val="1"/>
              </w:numPr>
              <w:ind w:right="97"/>
            </w:pPr>
            <w:r>
              <w:t xml:space="preserve">Accurate identification </w:t>
            </w:r>
            <w:r w:rsidR="00104BC4">
              <w:t xml:space="preserve">and description </w:t>
            </w:r>
            <w:r>
              <w:t xml:space="preserve">of </w:t>
            </w:r>
            <w:r w:rsidR="00E0459E">
              <w:t xml:space="preserve">a </w:t>
            </w:r>
            <w:r w:rsidR="00124A00">
              <w:t>companion diagnostic</w:t>
            </w:r>
            <w:r>
              <w:t xml:space="preserve">, including </w:t>
            </w:r>
            <w:r w:rsidR="00C45E3E">
              <w:t xml:space="preserve">its </w:t>
            </w:r>
            <w:r>
              <w:t xml:space="preserve">type and version.  </w:t>
            </w:r>
            <w:r w:rsidR="00FB310B">
              <w:t xml:space="preserve">If </w:t>
            </w:r>
            <w:r>
              <w:t>analytical software</w:t>
            </w:r>
            <w:r w:rsidR="00FB310B">
              <w:t xml:space="preserve"> is part of the IVD</w:t>
            </w:r>
            <w:r>
              <w:t xml:space="preserve">, </w:t>
            </w:r>
            <w:r w:rsidR="00FB310B">
              <w:t>its</w:t>
            </w:r>
            <w:r>
              <w:t xml:space="preserve"> version </w:t>
            </w:r>
            <w:r w:rsidR="00B27AEC">
              <w:t>shall</w:t>
            </w:r>
            <w:r>
              <w:t xml:space="preserve"> </w:t>
            </w:r>
            <w:r w:rsidR="0010584C">
              <w:t xml:space="preserve">also </w:t>
            </w:r>
            <w:r>
              <w:t xml:space="preserve">be </w:t>
            </w:r>
            <w:r w:rsidR="0056705E">
              <w:t>documented</w:t>
            </w:r>
            <w:r>
              <w:t>.</w:t>
            </w:r>
          </w:p>
          <w:p w14:paraId="002A8204" w14:textId="52391411" w:rsidR="00071E53" w:rsidRDefault="00124A00" w:rsidP="007560BE">
            <w:pPr>
              <w:pStyle w:val="TableParagraph"/>
              <w:numPr>
                <w:ilvl w:val="0"/>
                <w:numId w:val="1"/>
              </w:numPr>
              <w:ind w:right="97"/>
            </w:pPr>
            <w:r>
              <w:t xml:space="preserve">The name </w:t>
            </w:r>
            <w:r w:rsidR="00071E53">
              <w:t xml:space="preserve">of the </w:t>
            </w:r>
            <w:r w:rsidR="00C45E3E">
              <w:t>PS</w:t>
            </w:r>
            <w:r w:rsidR="00071E53">
              <w:t xml:space="preserve">, </w:t>
            </w:r>
            <w:r w:rsidR="00B23E7E">
              <w:t xml:space="preserve">its single identification </w:t>
            </w:r>
            <w:r w:rsidR="00071E53">
              <w:t xml:space="preserve">number </w:t>
            </w:r>
            <w:r w:rsidR="00ED6154">
              <w:t xml:space="preserve">and </w:t>
            </w:r>
            <w:r w:rsidR="00460B83">
              <w:t xml:space="preserve">the </w:t>
            </w:r>
            <w:r w:rsidR="00CB6625">
              <w:t xml:space="preserve">dated </w:t>
            </w:r>
            <w:r w:rsidR="00ED6154">
              <w:t xml:space="preserve">version </w:t>
            </w:r>
            <w:r w:rsidR="00071E53">
              <w:t xml:space="preserve">of </w:t>
            </w:r>
            <w:r w:rsidR="00C45E3E">
              <w:t xml:space="preserve">its </w:t>
            </w:r>
            <w:r w:rsidR="00172D78">
              <w:t>p</w:t>
            </w:r>
            <w:r w:rsidR="00071E53">
              <w:t>lan</w:t>
            </w:r>
            <w:r w:rsidR="00CB6625">
              <w:t>.</w:t>
            </w:r>
            <w:r w:rsidR="00ED6154">
              <w:t xml:space="preserve"> </w:t>
            </w:r>
          </w:p>
          <w:p w14:paraId="39574972" w14:textId="391271C3" w:rsidR="00ED6154" w:rsidRDefault="0010584C" w:rsidP="009F04C4">
            <w:pPr>
              <w:pStyle w:val="TableParagraph"/>
              <w:numPr>
                <w:ilvl w:val="0"/>
                <w:numId w:val="1"/>
              </w:numPr>
              <w:ind w:right="97"/>
            </w:pPr>
            <w:r>
              <w:t>In particular</w:t>
            </w:r>
            <w:r w:rsidR="00071E53">
              <w:t>, it is necessary to un</w:t>
            </w:r>
            <w:r>
              <w:t>equivocally</w:t>
            </w:r>
            <w:r w:rsidR="00071E53">
              <w:t xml:space="preserve"> and thoroughly document the fact that only </w:t>
            </w:r>
            <w:r w:rsidR="00ED6154">
              <w:t xml:space="preserve">left-over </w:t>
            </w:r>
            <w:r w:rsidR="00071E53">
              <w:t xml:space="preserve">samples will be used within this specific </w:t>
            </w:r>
            <w:r w:rsidR="00ED6154">
              <w:t>PS</w:t>
            </w:r>
            <w:r w:rsidR="00071E53">
              <w:t xml:space="preserve"> (including, for example, a </w:t>
            </w:r>
            <w:r>
              <w:t>citation</w:t>
            </w:r>
            <w:r w:rsidR="00071E53">
              <w:t xml:space="preserve"> from the </w:t>
            </w:r>
            <w:r w:rsidR="00FB310B">
              <w:t xml:space="preserve">respective </w:t>
            </w:r>
            <w:r w:rsidR="00ED6154">
              <w:t xml:space="preserve">human medicine </w:t>
            </w:r>
            <w:r w:rsidR="00071E53">
              <w:t xml:space="preserve">clinical </w:t>
            </w:r>
            <w:r>
              <w:t>trial</w:t>
            </w:r>
            <w:r w:rsidR="00071E53">
              <w:t xml:space="preserve"> plan). The origin of the samples must be described in detail, with clear justification </w:t>
            </w:r>
            <w:r w:rsidR="00ED6154">
              <w:t xml:space="preserve">by the sponsor </w:t>
            </w:r>
            <w:r w:rsidR="00071E53">
              <w:t>as to why</w:t>
            </w:r>
            <w:r w:rsidR="00ED6154">
              <w:t xml:space="preserve"> the samples can be classified as left-over.</w:t>
            </w:r>
          </w:p>
          <w:p w14:paraId="31C61B10" w14:textId="5D2A41C0" w:rsidR="00071E53" w:rsidRDefault="00071E53" w:rsidP="007560BE">
            <w:pPr>
              <w:pStyle w:val="TableParagraph"/>
              <w:numPr>
                <w:ilvl w:val="0"/>
                <w:numId w:val="1"/>
              </w:numPr>
              <w:ind w:right="97"/>
            </w:pPr>
            <w:r>
              <w:t xml:space="preserve">At the same time, information on the use of data from </w:t>
            </w:r>
            <w:r w:rsidR="00ED6154">
              <w:t xml:space="preserve">left-over sample </w:t>
            </w:r>
            <w:r>
              <w:t xml:space="preserve">banks </w:t>
            </w:r>
            <w:r w:rsidR="00ED6154">
              <w:t>describing</w:t>
            </w:r>
            <w:r>
              <w:t xml:space="preserve"> </w:t>
            </w:r>
            <w:r w:rsidR="00572388">
              <w:t xml:space="preserve">the </w:t>
            </w:r>
            <w:r>
              <w:t xml:space="preserve">reliability and representativeness </w:t>
            </w:r>
            <w:r w:rsidR="00ED6154">
              <w:t>of the respective samples</w:t>
            </w:r>
            <w:r w:rsidR="002F6875">
              <w:t>,</w:t>
            </w:r>
            <w:r>
              <w:t xml:space="preserve"> </w:t>
            </w:r>
            <w:r w:rsidR="005B38A3">
              <w:t xml:space="preserve">incl. </w:t>
            </w:r>
            <w:r w:rsidR="004F002F">
              <w:t xml:space="preserve">a specification of </w:t>
            </w:r>
            <w:r w:rsidR="005B38A3">
              <w:t xml:space="preserve">the statistical analysis </w:t>
            </w:r>
            <w:r w:rsidR="004F002F">
              <w:t>method</w:t>
            </w:r>
            <w:r w:rsidR="005B38A3">
              <w:t>, or the provision of the relevant method for determining the actual clinical status of samples from patients, respectively, must be documented</w:t>
            </w:r>
            <w:r w:rsidR="009F04C4">
              <w:t>.</w:t>
            </w:r>
          </w:p>
          <w:p w14:paraId="7636F4CC" w14:textId="39293ED6" w:rsidR="009F04C4" w:rsidRDefault="005B38A3" w:rsidP="009F04C4">
            <w:pPr>
              <w:pStyle w:val="TableParagraph"/>
              <w:numPr>
                <w:ilvl w:val="0"/>
                <w:numId w:val="1"/>
              </w:numPr>
              <w:ind w:right="97"/>
            </w:pPr>
            <w:r>
              <w:t>The s</w:t>
            </w:r>
            <w:r w:rsidR="009F04C4">
              <w:t xml:space="preserve">tudy </w:t>
            </w:r>
            <w:r w:rsidR="00071E53">
              <w:t xml:space="preserve">centers </w:t>
            </w:r>
            <w:r w:rsidR="00572388">
              <w:t xml:space="preserve">must also be listed </w:t>
            </w:r>
            <w:r w:rsidR="00071E53">
              <w:t>(including detailed contact addresses).</w:t>
            </w:r>
          </w:p>
          <w:p w14:paraId="75740FED" w14:textId="00EC31E3" w:rsidR="006617D5" w:rsidRDefault="00071E53" w:rsidP="00121DB7">
            <w:pPr>
              <w:pStyle w:val="TableParagraph"/>
              <w:numPr>
                <w:ilvl w:val="0"/>
                <w:numId w:val="1"/>
              </w:numPr>
              <w:ind w:right="97"/>
            </w:pPr>
            <w:r>
              <w:t xml:space="preserve">Identification of the clinical trial </w:t>
            </w:r>
            <w:r w:rsidR="00FB310B">
              <w:t xml:space="preserve">in human medicines </w:t>
            </w:r>
            <w:r>
              <w:t xml:space="preserve">in which the companion diagnostic will be used must be documented, including </w:t>
            </w:r>
            <w:r w:rsidR="00572388">
              <w:t>ID number</w:t>
            </w:r>
            <w:r w:rsidR="00FB310B">
              <w:t xml:space="preserve"> of its plan</w:t>
            </w:r>
            <w:r w:rsidR="00D25150">
              <w:t xml:space="preserve">, </w:t>
            </w:r>
            <w:r>
              <w:t xml:space="preserve">its version and synopsis. The assessment status of the clinical </w:t>
            </w:r>
            <w:r w:rsidR="00121DB7">
              <w:t>trial</w:t>
            </w:r>
            <w:r>
              <w:t xml:space="preserve"> at the time of submission of the </w:t>
            </w:r>
            <w:r w:rsidR="00D25150">
              <w:t>PS</w:t>
            </w:r>
            <w:r>
              <w:t xml:space="preserve"> notification in which the </w:t>
            </w:r>
            <w:r w:rsidR="00D25150">
              <w:t>companion</w:t>
            </w:r>
            <w:r>
              <w:t xml:space="preserve"> diagnostics are to be used must be indicated and </w:t>
            </w:r>
            <w:r w:rsidR="002F6875">
              <w:t xml:space="preserve">duly </w:t>
            </w:r>
            <w:r>
              <w:t>documented</w:t>
            </w:r>
            <w:r w:rsidRPr="009B5EB3">
              <w:t xml:space="preserve">. </w:t>
            </w:r>
          </w:p>
        </w:tc>
      </w:tr>
      <w:tr w:rsidR="00D25150" w14:paraId="2B46880D" w14:textId="77777777" w:rsidTr="00C35B9B">
        <w:trPr>
          <w:trHeight w:hRule="exact" w:val="7767"/>
        </w:trPr>
        <w:tc>
          <w:tcPr>
            <w:tcW w:w="3399" w:type="dxa"/>
          </w:tcPr>
          <w:p w14:paraId="33356D4E" w14:textId="387960D7" w:rsidR="00D25150" w:rsidRDefault="00B80FEC" w:rsidP="00D25150">
            <w:pPr>
              <w:pStyle w:val="TableParagraph"/>
              <w:ind w:left="105" w:right="101"/>
            </w:pPr>
            <w:r w:rsidRPr="008C08E3">
              <w:t xml:space="preserve">Clinical </w:t>
            </w:r>
            <w:r w:rsidR="00D25150" w:rsidRPr="008C08E3">
              <w:t xml:space="preserve">Performance </w:t>
            </w:r>
            <w:r w:rsidRPr="008C08E3">
              <w:t>Study</w:t>
            </w:r>
            <w:r w:rsidR="00D25150" w:rsidRPr="008C08E3">
              <w:t xml:space="preserve"> Plan</w:t>
            </w:r>
            <w:r w:rsidRPr="008C08E3">
              <w:t xml:space="preserve"> (</w:t>
            </w:r>
            <w:r w:rsidR="00FB310B" w:rsidRPr="008C08E3">
              <w:t>CPSP</w:t>
            </w:r>
            <w:r w:rsidRPr="008C08E3">
              <w:t>)</w:t>
            </w:r>
            <w:r w:rsidR="00D25150">
              <w:t xml:space="preserve"> must indicate the number/version/date of drafting the document </w:t>
            </w:r>
          </w:p>
        </w:tc>
        <w:tc>
          <w:tcPr>
            <w:tcW w:w="5665" w:type="dxa"/>
          </w:tcPr>
          <w:p w14:paraId="27683C4E" w14:textId="759F4ED3" w:rsidR="00D25150" w:rsidRDefault="00D25150" w:rsidP="00D25150">
            <w:pPr>
              <w:pStyle w:val="TableParagraph"/>
              <w:ind w:right="97"/>
            </w:pPr>
            <w:r w:rsidRPr="008C08E3">
              <w:t xml:space="preserve">Clinical Performance </w:t>
            </w:r>
            <w:r w:rsidR="00B80FEC" w:rsidRPr="008C08E3">
              <w:t>Study</w:t>
            </w:r>
            <w:r w:rsidRPr="008C08E3">
              <w:t xml:space="preserve"> Plans (</w:t>
            </w:r>
            <w:r w:rsidR="00B80FEC" w:rsidRPr="008C08E3">
              <w:t xml:space="preserve">hereinafter referred to as </w:t>
            </w:r>
            <w:r w:rsidRPr="008C08E3">
              <w:t>CPSP</w:t>
            </w:r>
            <w:r w:rsidR="00B80FEC" w:rsidRPr="008C08E3">
              <w:t>)</w:t>
            </w:r>
            <w:r>
              <w:t xml:space="preserve"> shall</w:t>
            </w:r>
            <w:r w:rsidRPr="004C53B1">
              <w:t xml:space="preserve"> be prepared </w:t>
            </w:r>
            <w:r>
              <w:t>in accordance with</w:t>
            </w:r>
            <w:r w:rsidRPr="004C53B1">
              <w:t xml:space="preserve"> the requirements </w:t>
            </w:r>
            <w:r>
              <w:t>laid down in</w:t>
            </w:r>
            <w:r w:rsidRPr="004C53B1">
              <w:t xml:space="preserve"> Appendix XIII of the IVDR </w:t>
            </w:r>
            <w:r>
              <w:t xml:space="preserve">setting </w:t>
            </w:r>
            <w:r w:rsidRPr="004C53B1">
              <w:t>the minimum content</w:t>
            </w:r>
            <w:r>
              <w:t xml:space="preserve"> requirements</w:t>
            </w:r>
            <w:r w:rsidRPr="004C53B1">
              <w:t xml:space="preserve"> </w:t>
            </w:r>
            <w:r>
              <w:t>for</w:t>
            </w:r>
            <w:r w:rsidRPr="004C53B1">
              <w:t xml:space="preserve"> the document and </w:t>
            </w:r>
            <w:r>
              <w:t xml:space="preserve">determining </w:t>
            </w:r>
            <w:r w:rsidRPr="004C53B1">
              <w:t xml:space="preserve">its structure. </w:t>
            </w:r>
          </w:p>
          <w:p w14:paraId="435A9247" w14:textId="77777777" w:rsidR="00D25150" w:rsidRDefault="00D25150" w:rsidP="00D25150">
            <w:pPr>
              <w:pStyle w:val="TableParagraph"/>
              <w:ind w:right="97"/>
            </w:pPr>
          </w:p>
          <w:p w14:paraId="52438720" w14:textId="75BDD3F7" w:rsidR="00D25150" w:rsidRDefault="00D25150" w:rsidP="00D25150">
            <w:pPr>
              <w:pStyle w:val="TableParagraph"/>
              <w:ind w:right="97"/>
            </w:pPr>
            <w:r w:rsidRPr="004C53B1">
              <w:t xml:space="preserve">It must </w:t>
            </w:r>
            <w:r>
              <w:t>contain</w:t>
            </w:r>
            <w:r w:rsidRPr="004C53B1">
              <w:t xml:space="preserve"> numbered pages including a</w:t>
            </w:r>
            <w:r>
              <w:t>nnexes</w:t>
            </w:r>
            <w:r w:rsidRPr="004C53B1">
              <w:t>,</w:t>
            </w:r>
            <w:r w:rsidR="00925198">
              <w:t xml:space="preserve"> a </w:t>
            </w:r>
            <w:r w:rsidRPr="004C53B1">
              <w:t xml:space="preserve">detailed </w:t>
            </w:r>
            <w:r>
              <w:t xml:space="preserve">table of contents </w:t>
            </w:r>
            <w:r w:rsidRPr="004C53B1">
              <w:t xml:space="preserve">with </w:t>
            </w:r>
            <w:r w:rsidR="002F6875">
              <w:t xml:space="preserve">marked </w:t>
            </w:r>
            <w:r w:rsidRPr="004C53B1">
              <w:t xml:space="preserve">page numbers and </w:t>
            </w:r>
            <w:r>
              <w:t xml:space="preserve">must </w:t>
            </w:r>
            <w:r w:rsidR="00925198">
              <w:t xml:space="preserve">meet </w:t>
            </w:r>
            <w:r>
              <w:t xml:space="preserve">the </w:t>
            </w:r>
            <w:r w:rsidRPr="004C53B1">
              <w:t xml:space="preserve">standard requirements </w:t>
            </w:r>
            <w:r>
              <w:t>for</w:t>
            </w:r>
            <w:r w:rsidRPr="004C53B1">
              <w:t xml:space="preserve"> controlled document</w:t>
            </w:r>
            <w:r>
              <w:t>s</w:t>
            </w:r>
            <w:r w:rsidRPr="004C53B1">
              <w:t xml:space="preserve">. </w:t>
            </w:r>
          </w:p>
          <w:p w14:paraId="63922B95" w14:textId="77777777" w:rsidR="00D25150" w:rsidRDefault="00D25150" w:rsidP="00D25150">
            <w:pPr>
              <w:pStyle w:val="TableParagraph"/>
              <w:ind w:right="97"/>
            </w:pPr>
          </w:p>
          <w:p w14:paraId="12AB3770" w14:textId="2384F8FD" w:rsidR="00D25150" w:rsidRDefault="00D25150" w:rsidP="00D25150">
            <w:pPr>
              <w:pStyle w:val="TableParagraph"/>
              <w:ind w:right="97"/>
            </w:pPr>
            <w:r w:rsidRPr="004C53B1">
              <w:t xml:space="preserve">Some </w:t>
            </w:r>
            <w:r w:rsidR="00B80FEC">
              <w:t xml:space="preserve">annexes to CPSPs </w:t>
            </w:r>
            <w:r w:rsidRPr="004C53B1">
              <w:t xml:space="preserve">can exceptionally be submitted as a separate file, but in no case </w:t>
            </w:r>
            <w:r w:rsidR="00925198">
              <w:t>can the</w:t>
            </w:r>
            <w:r w:rsidR="00B80FEC">
              <w:t xml:space="preserve"> </w:t>
            </w:r>
            <w:r w:rsidR="00925198" w:rsidRPr="008C08E3">
              <w:t>CPSP</w:t>
            </w:r>
            <w:r w:rsidR="00925198">
              <w:t xml:space="preserve"> be submitted </w:t>
            </w:r>
            <w:r w:rsidRPr="004C53B1">
              <w:t xml:space="preserve">as a folder of several loosely related documents. </w:t>
            </w:r>
          </w:p>
          <w:p w14:paraId="27913F69" w14:textId="77777777" w:rsidR="00D25150" w:rsidRDefault="00D25150" w:rsidP="00D25150">
            <w:pPr>
              <w:pStyle w:val="TableParagraph"/>
              <w:ind w:right="97"/>
            </w:pPr>
          </w:p>
          <w:p w14:paraId="33ECAAFC" w14:textId="2A96303D" w:rsidR="00D25150" w:rsidRDefault="00D25150" w:rsidP="00D25150">
            <w:pPr>
              <w:pStyle w:val="TableParagraph"/>
              <w:ind w:right="97"/>
            </w:pPr>
            <w:r>
              <w:t>SÚKL</w:t>
            </w:r>
            <w:r w:rsidRPr="004C53B1">
              <w:t xml:space="preserve"> points out that in the case of</w:t>
            </w:r>
            <w:r>
              <w:t xml:space="preserve"> companion</w:t>
            </w:r>
            <w:r w:rsidRPr="004C53B1">
              <w:t xml:space="preserve"> diagnostics, the </w:t>
            </w:r>
            <w:r>
              <w:t>protocol</w:t>
            </w:r>
            <w:r w:rsidRPr="004C53B1">
              <w:t xml:space="preserve"> </w:t>
            </w:r>
            <w:r>
              <w:t xml:space="preserve">of clinical trials </w:t>
            </w:r>
            <w:r w:rsidR="00FB310B">
              <w:t>in</w:t>
            </w:r>
            <w:r>
              <w:t xml:space="preserve"> human medicines </w:t>
            </w:r>
            <w:r w:rsidRPr="004C53B1">
              <w:t xml:space="preserve">will not be accepted instead of </w:t>
            </w:r>
            <w:r w:rsidR="00925198">
              <w:t xml:space="preserve">the </w:t>
            </w:r>
            <w:r w:rsidRPr="008C08E3">
              <w:t>CPSP</w:t>
            </w:r>
            <w:r w:rsidRPr="004C53B1">
              <w:t xml:space="preserve">, even though it may contain some data required in Annex XIII of the IVDR. The structure of the </w:t>
            </w:r>
            <w:r w:rsidR="00FB310B">
              <w:t xml:space="preserve">CT Plan </w:t>
            </w:r>
            <w:r w:rsidRPr="004C53B1">
              <w:t xml:space="preserve">does not correspond to the requirements of Annex XIII of the IVDR, is prepared </w:t>
            </w:r>
            <w:r w:rsidR="00B27AEC">
              <w:t>based on</w:t>
            </w:r>
            <w:r w:rsidRPr="004C53B1">
              <w:t xml:space="preserve"> </w:t>
            </w:r>
            <w:r w:rsidR="00B27AEC">
              <w:t>different</w:t>
            </w:r>
            <w:r w:rsidRPr="004C53B1">
              <w:t xml:space="preserve"> requirements and for </w:t>
            </w:r>
            <w:r w:rsidR="00925198">
              <w:t>a</w:t>
            </w:r>
            <w:r w:rsidR="00B27AEC">
              <w:t>nother</w:t>
            </w:r>
            <w:r w:rsidRPr="004C53B1">
              <w:t xml:space="preserve"> purpose than the </w:t>
            </w:r>
            <w:r w:rsidRPr="008C08E3">
              <w:t>CPSP</w:t>
            </w:r>
            <w:r w:rsidRPr="003A77F3">
              <w:t>.</w:t>
            </w:r>
            <w:r w:rsidRPr="004C53B1">
              <w:t xml:space="preserve"> Th</w:t>
            </w:r>
            <w:r w:rsidR="00FB310B">
              <w:t>erefore</w:t>
            </w:r>
            <w:r w:rsidRPr="004C53B1">
              <w:t>, the</w:t>
            </w:r>
            <w:r w:rsidR="00FB310B">
              <w:t xml:space="preserve"> </w:t>
            </w:r>
            <w:r w:rsidRPr="008C08E3">
              <w:t>CPSP</w:t>
            </w:r>
            <w:r w:rsidRPr="004C53B1">
              <w:t xml:space="preserve"> </w:t>
            </w:r>
            <w:r>
              <w:t>shall</w:t>
            </w:r>
            <w:r w:rsidRPr="004C53B1">
              <w:t xml:space="preserve"> have a different </w:t>
            </w:r>
            <w:r w:rsidR="00925198">
              <w:t xml:space="preserve">PS </w:t>
            </w:r>
            <w:r w:rsidRPr="004C53B1">
              <w:t>identification number</w:t>
            </w:r>
            <w:r>
              <w:t xml:space="preserve"> </w:t>
            </w:r>
            <w:r w:rsidRPr="004C53B1">
              <w:t xml:space="preserve">than </w:t>
            </w:r>
            <w:r>
              <w:t xml:space="preserve">that </w:t>
            </w:r>
            <w:r w:rsidR="00B27AEC">
              <w:t>of</w:t>
            </w:r>
            <w:r>
              <w:t xml:space="preserve"> </w:t>
            </w:r>
            <w:r w:rsidRPr="004C53B1">
              <w:t xml:space="preserve">the clinical trial </w:t>
            </w:r>
            <w:r w:rsidR="001B4F0E">
              <w:t>in</w:t>
            </w:r>
            <w:r>
              <w:t xml:space="preserve"> the respective </w:t>
            </w:r>
            <w:r w:rsidR="001B4F0E">
              <w:t>human medicines (as referred to in Article 66(1))</w:t>
            </w:r>
            <w:r w:rsidRPr="004C53B1">
              <w:t xml:space="preserve"> </w:t>
            </w:r>
          </w:p>
          <w:p w14:paraId="2C139B4D" w14:textId="77777777" w:rsidR="00D25150" w:rsidRDefault="00D25150" w:rsidP="00D25150">
            <w:pPr>
              <w:pStyle w:val="TableParagraph"/>
              <w:ind w:right="97"/>
            </w:pPr>
          </w:p>
          <w:p w14:paraId="089084E2" w14:textId="3B359C6D" w:rsidR="00D25150" w:rsidRDefault="00D25150" w:rsidP="00D25150">
            <w:pPr>
              <w:pStyle w:val="TableParagraph"/>
              <w:ind w:right="99"/>
            </w:pPr>
            <w:r w:rsidRPr="004C53B1">
              <w:t>The sponsor</w:t>
            </w:r>
            <w:r>
              <w:t xml:space="preserve"> </w:t>
            </w:r>
            <w:r w:rsidRPr="004C53B1">
              <w:t>listed in the document must be identical to the sponsor in the application/noti</w:t>
            </w:r>
            <w:r>
              <w:t>fication</w:t>
            </w:r>
            <w:r w:rsidRPr="004C53B1">
              <w:t xml:space="preserve"> and must </w:t>
            </w:r>
            <w:r>
              <w:t xml:space="preserve">also </w:t>
            </w:r>
            <w:r w:rsidRPr="004C53B1">
              <w:t>match the information in the powers of attorney</w:t>
            </w:r>
            <w:r w:rsidR="00925198">
              <w:t xml:space="preserve"> submitted</w:t>
            </w:r>
            <w:r w:rsidRPr="004C53B1">
              <w:t>.</w:t>
            </w:r>
          </w:p>
        </w:tc>
      </w:tr>
      <w:tr w:rsidR="006617D5" w14:paraId="6D330E71" w14:textId="77777777" w:rsidTr="007560BE">
        <w:trPr>
          <w:trHeight w:hRule="exact" w:val="1630"/>
        </w:trPr>
        <w:tc>
          <w:tcPr>
            <w:tcW w:w="3399" w:type="dxa"/>
          </w:tcPr>
          <w:p w14:paraId="64C1ED2C" w14:textId="3F50D66E" w:rsidR="00D25150" w:rsidRDefault="000571C6" w:rsidP="00D25150">
            <w:pPr>
              <w:pStyle w:val="TableParagraph"/>
              <w:spacing w:line="265" w:lineRule="exact"/>
            </w:pPr>
            <w:r>
              <w:t>Overall s</w:t>
            </w:r>
            <w:r w:rsidR="00D25150">
              <w:t xml:space="preserve">ynopsis of </w:t>
            </w:r>
            <w:r w:rsidR="001B4F0E" w:rsidRPr="008C08E3">
              <w:t xml:space="preserve">the </w:t>
            </w:r>
            <w:r w:rsidR="00D25150" w:rsidRPr="008C08E3">
              <w:t>CPS</w:t>
            </w:r>
            <w:r w:rsidR="00572388" w:rsidRPr="008C08E3">
              <w:t>P</w:t>
            </w:r>
            <w:r w:rsidR="00D25150">
              <w:t xml:space="preserve"> in Czech</w:t>
            </w:r>
          </w:p>
          <w:p w14:paraId="3D72AA26" w14:textId="17524E0E" w:rsidR="006617D5" w:rsidRDefault="006617D5" w:rsidP="00D25150">
            <w:pPr>
              <w:pStyle w:val="TableParagraph"/>
              <w:spacing w:line="265" w:lineRule="exact"/>
              <w:ind w:left="105"/>
              <w:jc w:val="left"/>
            </w:pPr>
          </w:p>
        </w:tc>
        <w:tc>
          <w:tcPr>
            <w:tcW w:w="5665" w:type="dxa"/>
          </w:tcPr>
          <w:p w14:paraId="72F647F2" w14:textId="30246C20" w:rsidR="006617D5" w:rsidRDefault="00925198">
            <w:pPr>
              <w:pStyle w:val="TableParagraph"/>
              <w:ind w:right="100"/>
            </w:pPr>
            <w:r>
              <w:t>The C</w:t>
            </w:r>
            <w:r w:rsidR="00D25150">
              <w:t xml:space="preserve">zech version of the </w:t>
            </w:r>
            <w:r w:rsidR="000571C6">
              <w:t xml:space="preserve">overall </w:t>
            </w:r>
            <w:r w:rsidR="00D25150">
              <w:t xml:space="preserve">synopsis of </w:t>
            </w:r>
            <w:r w:rsidR="001B4F0E" w:rsidRPr="008C08E3">
              <w:t xml:space="preserve">the </w:t>
            </w:r>
            <w:r w:rsidR="00D25150" w:rsidRPr="008C08E3">
              <w:t>CPS</w:t>
            </w:r>
            <w:r w:rsidR="00572388" w:rsidRPr="008C08E3">
              <w:t>P</w:t>
            </w:r>
            <w:r w:rsidR="00D25150">
              <w:t xml:space="preserve"> can be part of the study plan and</w:t>
            </w:r>
            <w:r>
              <w:t>,</w:t>
            </w:r>
            <w:r w:rsidR="00D25150">
              <w:t xml:space="preserve"> if available, should also be </w:t>
            </w:r>
            <w:r w:rsidR="00477C71">
              <w:t>provided</w:t>
            </w:r>
            <w:r w:rsidR="00D25150">
              <w:t xml:space="preserve"> (</w:t>
            </w:r>
            <w:r>
              <w:t xml:space="preserve">for </w:t>
            </w:r>
            <w:r w:rsidR="001B4F0E">
              <w:t xml:space="preserve">the purpose of </w:t>
            </w:r>
            <w:r>
              <w:t xml:space="preserve">submission </w:t>
            </w:r>
            <w:r w:rsidR="00D25150">
              <w:t>to the ethics committee).</w:t>
            </w:r>
          </w:p>
        </w:tc>
      </w:tr>
      <w:tr w:rsidR="006617D5" w14:paraId="7896D903" w14:textId="77777777" w:rsidTr="007560BE">
        <w:trPr>
          <w:trHeight w:hRule="exact" w:val="2262"/>
        </w:trPr>
        <w:tc>
          <w:tcPr>
            <w:tcW w:w="3399" w:type="dxa"/>
          </w:tcPr>
          <w:p w14:paraId="5ABDE4E2" w14:textId="77EFCAB0" w:rsidR="006617D5" w:rsidRDefault="00D25150">
            <w:pPr>
              <w:pStyle w:val="TableParagraph"/>
              <w:ind w:left="105" w:right="253"/>
              <w:jc w:val="left"/>
            </w:pPr>
            <w:r w:rsidRPr="001A0570">
              <w:t>Instructions for use/application /manual of the tested</w:t>
            </w:r>
            <w:r>
              <w:t xml:space="preserve"> </w:t>
            </w:r>
            <w:r w:rsidRPr="001A0570">
              <w:t>device</w:t>
            </w:r>
            <w:r>
              <w:t xml:space="preserve"> </w:t>
            </w:r>
            <w:r w:rsidRPr="001A0570">
              <w:t>(multiple files can be added) - number/version/date</w:t>
            </w:r>
            <w:r>
              <w:t xml:space="preserve"> </w:t>
            </w:r>
          </w:p>
        </w:tc>
        <w:tc>
          <w:tcPr>
            <w:tcW w:w="5665" w:type="dxa"/>
          </w:tcPr>
          <w:p w14:paraId="16D72B53" w14:textId="77777777" w:rsidR="001B4F0E" w:rsidRDefault="00D25150">
            <w:pPr>
              <w:pStyle w:val="TableParagraph"/>
              <w:spacing w:line="265" w:lineRule="exact"/>
              <w:jc w:val="left"/>
            </w:pPr>
            <w:r w:rsidRPr="00D17FA7">
              <w:t xml:space="preserve">Mandatory attachment. </w:t>
            </w:r>
          </w:p>
          <w:p w14:paraId="4202983B" w14:textId="501027E4" w:rsidR="006617D5" w:rsidRDefault="00D25150">
            <w:pPr>
              <w:pStyle w:val="TableParagraph"/>
              <w:spacing w:line="265" w:lineRule="exact"/>
              <w:jc w:val="left"/>
            </w:pPr>
            <w:r w:rsidRPr="00D17FA7">
              <w:t>English</w:t>
            </w:r>
            <w:r>
              <w:t xml:space="preserve"> version is acceptable. </w:t>
            </w:r>
          </w:p>
        </w:tc>
      </w:tr>
      <w:tr w:rsidR="006617D5" w14:paraId="58635DD6" w14:textId="77777777" w:rsidTr="007560BE">
        <w:trPr>
          <w:trHeight w:hRule="exact" w:val="1132"/>
        </w:trPr>
        <w:tc>
          <w:tcPr>
            <w:tcW w:w="3399" w:type="dxa"/>
          </w:tcPr>
          <w:p w14:paraId="4E10302A" w14:textId="2DD02887" w:rsidR="006617D5" w:rsidRDefault="00477C71">
            <w:pPr>
              <w:pStyle w:val="TableParagraph"/>
              <w:spacing w:line="265" w:lineRule="exact"/>
              <w:ind w:left="105"/>
              <w:jc w:val="left"/>
            </w:pPr>
            <w:r>
              <w:t xml:space="preserve">Payment for </w:t>
            </w:r>
            <w:r w:rsidRPr="00096F25">
              <w:t>application</w:t>
            </w:r>
            <w:r>
              <w:t xml:space="preserve"> assessment</w:t>
            </w:r>
            <w:r w:rsidRPr="00096F25" w:rsidDel="00096F25">
              <w:t xml:space="preserve"> </w:t>
            </w:r>
          </w:p>
        </w:tc>
        <w:tc>
          <w:tcPr>
            <w:tcW w:w="5665" w:type="dxa"/>
          </w:tcPr>
          <w:p w14:paraId="5E14A0A2" w14:textId="439E9334" w:rsidR="006617D5" w:rsidRDefault="00AD2AD5">
            <w:pPr>
              <w:pStyle w:val="TableParagraph"/>
              <w:spacing w:line="265" w:lineRule="exact"/>
              <w:jc w:val="left"/>
            </w:pPr>
            <w:r>
              <w:t>Free of charge.</w:t>
            </w:r>
          </w:p>
        </w:tc>
      </w:tr>
    </w:tbl>
    <w:p w14:paraId="7713C5A9" w14:textId="77777777" w:rsidR="006617D5" w:rsidRDefault="006617D5">
      <w:pPr>
        <w:pStyle w:val="Zkladntext"/>
        <w:rPr>
          <w:rFonts w:ascii="Times New Roman"/>
          <w:sz w:val="20"/>
        </w:rPr>
      </w:pPr>
    </w:p>
    <w:p w14:paraId="4C92EC50" w14:textId="77777777" w:rsidR="006617D5" w:rsidRDefault="006617D5">
      <w:pPr>
        <w:pStyle w:val="Zkladntext"/>
        <w:spacing w:before="11"/>
        <w:rPr>
          <w:rFonts w:ascii="Times New Roman"/>
          <w:sz w:val="18"/>
        </w:rPr>
      </w:pPr>
    </w:p>
    <w:p w14:paraId="3B80A615" w14:textId="52E0AB26" w:rsidR="006617D5" w:rsidRDefault="006617D5">
      <w:pPr>
        <w:pStyle w:val="Zkladntext"/>
        <w:ind w:left="116"/>
      </w:pPr>
    </w:p>
    <w:sectPr w:rsidR="006617D5">
      <w:pgSz w:w="11910" w:h="16840"/>
      <w:pgMar w:top="14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5E9A"/>
    <w:multiLevelType w:val="hybridMultilevel"/>
    <w:tmpl w:val="312A5E02"/>
    <w:lvl w:ilvl="0" w:tplc="0405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num w:numId="1" w16cid:durableId="1702851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D5"/>
    <w:rsid w:val="00002F53"/>
    <w:rsid w:val="000571C6"/>
    <w:rsid w:val="00071E53"/>
    <w:rsid w:val="000865A1"/>
    <w:rsid w:val="000B0747"/>
    <w:rsid w:val="000B46EF"/>
    <w:rsid w:val="000F26BF"/>
    <w:rsid w:val="00104BC4"/>
    <w:rsid w:val="0010584C"/>
    <w:rsid w:val="00121DB7"/>
    <w:rsid w:val="00124A00"/>
    <w:rsid w:val="00172D78"/>
    <w:rsid w:val="00182B27"/>
    <w:rsid w:val="001B4F0E"/>
    <w:rsid w:val="002843E8"/>
    <w:rsid w:val="002F6875"/>
    <w:rsid w:val="00323C84"/>
    <w:rsid w:val="00372286"/>
    <w:rsid w:val="003A77F3"/>
    <w:rsid w:val="003E7596"/>
    <w:rsid w:val="00456A53"/>
    <w:rsid w:val="00460B83"/>
    <w:rsid w:val="00477C71"/>
    <w:rsid w:val="004F002F"/>
    <w:rsid w:val="00501157"/>
    <w:rsid w:val="00522A7E"/>
    <w:rsid w:val="00534CFC"/>
    <w:rsid w:val="0056705E"/>
    <w:rsid w:val="00572388"/>
    <w:rsid w:val="005B3583"/>
    <w:rsid w:val="005B38A3"/>
    <w:rsid w:val="005D35CD"/>
    <w:rsid w:val="005D679E"/>
    <w:rsid w:val="006617D5"/>
    <w:rsid w:val="007560BE"/>
    <w:rsid w:val="0078671E"/>
    <w:rsid w:val="007C53A8"/>
    <w:rsid w:val="008C08E3"/>
    <w:rsid w:val="008C2791"/>
    <w:rsid w:val="008E316D"/>
    <w:rsid w:val="00925198"/>
    <w:rsid w:val="00926F62"/>
    <w:rsid w:val="00927BD3"/>
    <w:rsid w:val="009F04C4"/>
    <w:rsid w:val="00A96180"/>
    <w:rsid w:val="00AD2AD5"/>
    <w:rsid w:val="00B05DF3"/>
    <w:rsid w:val="00B23E7E"/>
    <w:rsid w:val="00B27AEC"/>
    <w:rsid w:val="00B80FEC"/>
    <w:rsid w:val="00C35B9B"/>
    <w:rsid w:val="00C45E3E"/>
    <w:rsid w:val="00C74824"/>
    <w:rsid w:val="00CB6625"/>
    <w:rsid w:val="00D25150"/>
    <w:rsid w:val="00D64D49"/>
    <w:rsid w:val="00E0459E"/>
    <w:rsid w:val="00ED6154"/>
    <w:rsid w:val="00F077FF"/>
    <w:rsid w:val="00F30D12"/>
    <w:rsid w:val="00F73CD9"/>
    <w:rsid w:val="00FA5BD2"/>
    <w:rsid w:val="00FB2D09"/>
    <w:rsid w:val="00FB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5341"/>
  <w15:docId w15:val="{697B7E6B-EBB4-44B5-B14F-EE501C43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03"/>
      <w:jc w:val="both"/>
    </w:pPr>
  </w:style>
  <w:style w:type="character" w:styleId="Hypertextovodkaz">
    <w:name w:val="Hyperlink"/>
    <w:basedOn w:val="Standardnpsmoodstavce"/>
    <w:uiPriority w:val="99"/>
    <w:unhideWhenUsed/>
    <w:rsid w:val="008E316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316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56A53"/>
    <w:pPr>
      <w:widowControl/>
      <w:autoSpaceDE/>
      <w:autoSpaceDN/>
    </w:pPr>
    <w:rPr>
      <w:rFonts w:ascii="Calibri" w:eastAsia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3E75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E75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E7596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75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7596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7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file:///C:\Users\kostalovad\Desktop\Job\ZP_SYS\P&#345;eklady\Doprovodn&#233;%20dokumenty%20pro%20p&#345;eklad%20k%20SFZ%20do%20EN\Word\Data%20Mailbox%20Set-up%20for%20Foreign%20Entities,%20%20%20%20State%20%20%20%20Institute%20%20%20%20for%20%20%20%20Drug%20%20%20%20%20Control%20%20%20%20%20(sukl.eu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8E4AD022AF9643AD8FE80F48B47E68" ma:contentTypeVersion="2" ma:contentTypeDescription="Vytvoří nový dokument" ma:contentTypeScope="" ma:versionID="d50f0acc98871a128602a4e0a82c6dc9">
  <xsd:schema xmlns:xsd="http://www.w3.org/2001/XMLSchema" xmlns:xs="http://www.w3.org/2001/XMLSchema" xmlns:p="http://schemas.microsoft.com/office/2006/metadata/properties" xmlns:ns3="9987b4d1-798e-4f2c-8c25-784489b150d2" targetNamespace="http://schemas.microsoft.com/office/2006/metadata/properties" ma:root="true" ma:fieldsID="849441076c35995b2fbd8d392f22f14a" ns3:_="">
    <xsd:import namespace="9987b4d1-798e-4f2c-8c25-784489b150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7b4d1-798e-4f2c-8c25-784489b15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B3D012-5066-47B5-96C0-2C9AB7B4EE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FC0AEE-D81C-4671-ACB8-981CF73EFE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B6ED81-6721-4B57-8A6D-A3A17FE409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5B6256-8563-4196-B6A0-0765B7702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7b4d1-798e-4f2c-8c25-784489b15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Tomáš</dc:creator>
  <cp:keywords/>
  <dc:description/>
  <cp:lastModifiedBy>Košťálová Doubravka</cp:lastModifiedBy>
  <cp:revision>2</cp:revision>
  <dcterms:created xsi:type="dcterms:W3CDTF">2023-07-12T13:18:00Z</dcterms:created>
  <dcterms:modified xsi:type="dcterms:W3CDTF">2023-07-12T13:18:00Z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2023-04-20T00:00:00Z</vt:filetime>
  </property>
  <property fmtid="{D5CDD505-2E9C-101B-9397-08002B2CF9AE}" pid="5" name="ContentTypeId">
    <vt:lpwstr>0x010100138E4AD022AF9643AD8FE80F48B47E68</vt:lpwstr>
  </property>
</Properties>
</file>