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A09" w:rsidRPr="00511E8D" w:rsidRDefault="00436A09" w:rsidP="00436A09">
      <w:pPr>
        <w:rPr>
          <w:b/>
          <w:sz w:val="28"/>
          <w:szCs w:val="28"/>
        </w:rPr>
      </w:pPr>
      <w:bookmarkStart w:id="0" w:name="_GoBack"/>
      <w:bookmarkEnd w:id="0"/>
      <w:r w:rsidRPr="00511E8D">
        <w:rPr>
          <w:b/>
          <w:sz w:val="28"/>
          <w:szCs w:val="28"/>
        </w:rPr>
        <w:t xml:space="preserve">Vzorové SPC pro léčivé přípravky obsahující </w:t>
      </w:r>
      <w:proofErr w:type="spellStart"/>
      <w:r w:rsidRPr="00511E8D">
        <w:rPr>
          <w:b/>
          <w:sz w:val="28"/>
          <w:szCs w:val="28"/>
        </w:rPr>
        <w:t>trazodon</w:t>
      </w:r>
      <w:proofErr w:type="spellEnd"/>
      <w:r w:rsidRPr="00511E8D">
        <w:rPr>
          <w:b/>
          <w:sz w:val="28"/>
          <w:szCs w:val="28"/>
        </w:rPr>
        <w:t>:</w:t>
      </w:r>
    </w:p>
    <w:p w:rsidR="00436A09" w:rsidRDefault="00436A09" w:rsidP="00436A09">
      <w:r>
        <w:rPr>
          <w:u w:val="single"/>
        </w:rPr>
        <w:t xml:space="preserve">Bod 4.2: </w:t>
      </w:r>
      <w:r w:rsidR="00544EF5" w:rsidRPr="00544EF5">
        <w:rPr>
          <w:u w:val="single"/>
        </w:rPr>
        <w:t>Dávkování a způsob podání</w:t>
      </w:r>
      <w:r w:rsidR="00544EF5">
        <w:rPr>
          <w:u w:val="single"/>
        </w:rPr>
        <w:t xml:space="preserve"> – odkaz na bod 4.4</w:t>
      </w:r>
    </w:p>
    <w:p w:rsidR="00544EF5" w:rsidRDefault="00544EF5" w:rsidP="00436A09">
      <w:r>
        <w:t>Doporučen</w:t>
      </w:r>
      <w:r w:rsidR="00156861">
        <w:t>á</w:t>
      </w:r>
      <w:r>
        <w:t xml:space="preserve"> počáteční dávka je u velmi starých nebo </w:t>
      </w:r>
      <w:r w:rsidR="00011F4A">
        <w:t>o</w:t>
      </w:r>
      <w:r>
        <w:t>slab</w:t>
      </w:r>
      <w:r w:rsidR="00011F4A">
        <w:t>en</w:t>
      </w:r>
      <w:r>
        <w:t>ých pacientů snížena na 100 mg denně podávaná buď v několika dávkách</w:t>
      </w:r>
      <w:r w:rsidR="00FA111A">
        <w:t>,</w:t>
      </w:r>
      <w:r>
        <w:t xml:space="preserve"> nebo v jedné dávce před spaním (viz bod 4.4). Dávka může být postupně zvyšována</w:t>
      </w:r>
      <w:r w:rsidR="00FA111A">
        <w:t xml:space="preserve">, </w:t>
      </w:r>
      <w:r>
        <w:t>jak je popsáno u dospělých pacientů. Zvýšení dávky je nutné provádět pod dozorem lékaře, podle snášenlivosti a účinnosti.</w:t>
      </w:r>
    </w:p>
    <w:p w:rsidR="00544EF5" w:rsidRDefault="00544EF5" w:rsidP="00436A09"/>
    <w:p w:rsidR="00544EF5" w:rsidRDefault="00544EF5" w:rsidP="00436A09">
      <w:r>
        <w:rPr>
          <w:u w:val="single"/>
        </w:rPr>
        <w:t xml:space="preserve">Bod 4.4: </w:t>
      </w:r>
      <w:r w:rsidRPr="00544EF5">
        <w:rPr>
          <w:u w:val="single"/>
        </w:rPr>
        <w:t>Zvláštní upozornění a opatření pro použití</w:t>
      </w:r>
    </w:p>
    <w:p w:rsidR="00436A09" w:rsidRDefault="00E76F8E" w:rsidP="00436A09">
      <w:r>
        <w:t>Starší pacienti jsou častěji citlivější k antidepresivům, zejména u nich může častěji docházet k ortostatické hypotenzi, somnolenci a dalším antichol</w:t>
      </w:r>
      <w:r w:rsidR="00156861">
        <w:t>i</w:t>
      </w:r>
      <w:r>
        <w:t xml:space="preserve">nergním účinkům </w:t>
      </w:r>
      <w:proofErr w:type="spellStart"/>
      <w:r>
        <w:t>trazodonu</w:t>
      </w:r>
      <w:proofErr w:type="spellEnd"/>
      <w:r>
        <w:t>. Pozornost by se měla zaměřit na možnost aditivního účinku při současném užívání léků</w:t>
      </w:r>
      <w:r w:rsidR="00FA111A">
        <w:t>,</w:t>
      </w:r>
      <w:r>
        <w:t xml:space="preserve"> jako jsou </w:t>
      </w:r>
      <w:r w:rsidR="00156861">
        <w:t>jin</w:t>
      </w:r>
      <w:r w:rsidR="009B3808">
        <w:t>é</w:t>
      </w:r>
      <w:r w:rsidR="00156861">
        <w:t xml:space="preserve"> </w:t>
      </w:r>
      <w:r>
        <w:t>psychotrop</w:t>
      </w:r>
      <w:r w:rsidR="009B3808">
        <w:t>ní přípravky</w:t>
      </w:r>
      <w:r>
        <w:t xml:space="preserve">, antihypertenziva nebo </w:t>
      </w:r>
      <w:r w:rsidR="00185553">
        <w:t>pokud jsou přítomny</w:t>
      </w:r>
      <w:r>
        <w:t xml:space="preserve"> rizikov</w:t>
      </w:r>
      <w:r w:rsidR="00185553">
        <w:t>é</w:t>
      </w:r>
      <w:r>
        <w:t xml:space="preserve"> faktor</w:t>
      </w:r>
      <w:r w:rsidR="00185553">
        <w:t>y,</w:t>
      </w:r>
      <w:r>
        <w:t xml:space="preserve"> jako jsou další současná onemocnění, která mohou zhoršit výše popsané reakce.  Doporučuje se pacienta/ošetřující osobu informovat</w:t>
      </w:r>
      <w:r w:rsidR="00EA4E19">
        <w:t xml:space="preserve"> o možnosti těchto reakcí a pozorně sledovat, zda se u něj po zahájení léčby neb</w:t>
      </w:r>
      <w:r w:rsidR="00FA111A">
        <w:t xml:space="preserve">o </w:t>
      </w:r>
      <w:r w:rsidR="00185553">
        <w:t xml:space="preserve">před či po zvyšování dávky </w:t>
      </w:r>
      <w:r w:rsidR="00FA111A">
        <w:t xml:space="preserve">tyto reakce </w:t>
      </w:r>
      <w:r w:rsidR="0076238B">
        <w:t>ne</w:t>
      </w:r>
      <w:r w:rsidR="00EA4E19">
        <w:t>objeví.</w:t>
      </w:r>
    </w:p>
    <w:p w:rsidR="00EA4E19" w:rsidRDefault="00EA4E19" w:rsidP="00436A09"/>
    <w:p w:rsidR="00436A09" w:rsidRDefault="00EA4E19" w:rsidP="00436A09">
      <w:r>
        <w:t xml:space="preserve">PIL je </w:t>
      </w:r>
      <w:r w:rsidR="00FA111A">
        <w:t>nutné upravit dle SPC.</w:t>
      </w:r>
    </w:p>
    <w:p w:rsidR="00436A09" w:rsidRDefault="00436A09" w:rsidP="00436A09"/>
    <w:p w:rsidR="00436A09" w:rsidRPr="00436A09" w:rsidRDefault="00436A09" w:rsidP="00436A09">
      <w:pPr>
        <w:rPr>
          <w:color w:val="0070C0"/>
        </w:rPr>
      </w:pPr>
      <w:proofErr w:type="spellStart"/>
      <w:r w:rsidRPr="00436A09">
        <w:rPr>
          <w:color w:val="0070C0"/>
        </w:rPr>
        <w:t>SmPC</w:t>
      </w:r>
      <w:proofErr w:type="spellEnd"/>
      <w:r w:rsidRPr="00436A09">
        <w:rPr>
          <w:color w:val="0070C0"/>
        </w:rPr>
        <w:t xml:space="preserve"> - </w:t>
      </w:r>
      <w:proofErr w:type="spellStart"/>
      <w:r w:rsidRPr="00436A09">
        <w:rPr>
          <w:color w:val="0070C0"/>
        </w:rPr>
        <w:t>Section</w:t>
      </w:r>
      <w:proofErr w:type="spellEnd"/>
      <w:r w:rsidRPr="00436A09">
        <w:rPr>
          <w:color w:val="0070C0"/>
        </w:rPr>
        <w:t xml:space="preserve"> 4.2. </w:t>
      </w:r>
      <w:proofErr w:type="spellStart"/>
      <w:r w:rsidRPr="00436A09">
        <w:rPr>
          <w:color w:val="0070C0"/>
        </w:rPr>
        <w:t>Add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cross</w:t>
      </w:r>
      <w:proofErr w:type="spellEnd"/>
      <w:r w:rsidRPr="00436A09">
        <w:rPr>
          <w:color w:val="0070C0"/>
        </w:rPr>
        <w:t xml:space="preserve">-reference to </w:t>
      </w:r>
      <w:proofErr w:type="spellStart"/>
      <w:r w:rsidRPr="00436A09">
        <w:rPr>
          <w:color w:val="0070C0"/>
        </w:rPr>
        <w:t>Section</w:t>
      </w:r>
      <w:proofErr w:type="spellEnd"/>
      <w:r w:rsidRPr="00436A09">
        <w:rPr>
          <w:color w:val="0070C0"/>
        </w:rPr>
        <w:t xml:space="preserve"> 4.4</w:t>
      </w:r>
    </w:p>
    <w:p w:rsidR="00436A09" w:rsidRPr="00436A09" w:rsidRDefault="00436A09" w:rsidP="00436A09">
      <w:pPr>
        <w:rPr>
          <w:color w:val="0070C0"/>
        </w:rPr>
      </w:pPr>
      <w:r w:rsidRPr="00436A09">
        <w:rPr>
          <w:color w:val="0070C0"/>
        </w:rPr>
        <w:t>“</w:t>
      </w:r>
      <w:proofErr w:type="spellStart"/>
      <w:r w:rsidRPr="00436A09">
        <w:rPr>
          <w:color w:val="0070C0"/>
        </w:rPr>
        <w:t>For</w:t>
      </w:r>
      <w:proofErr w:type="spellEnd"/>
      <w:r w:rsidRPr="00436A09">
        <w:rPr>
          <w:color w:val="0070C0"/>
        </w:rPr>
        <w:t xml:space="preserve"> very </w:t>
      </w:r>
      <w:proofErr w:type="spellStart"/>
      <w:r w:rsidRPr="00436A09">
        <w:rPr>
          <w:color w:val="0070C0"/>
        </w:rPr>
        <w:t>elderly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or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frail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patients</w:t>
      </w:r>
      <w:proofErr w:type="spellEnd"/>
      <w:r w:rsidRPr="00436A09">
        <w:rPr>
          <w:color w:val="0070C0"/>
        </w:rPr>
        <w:t xml:space="preserve">, </w:t>
      </w:r>
      <w:proofErr w:type="spellStart"/>
      <w:r w:rsidRPr="00436A09">
        <w:rPr>
          <w:color w:val="0070C0"/>
        </w:rPr>
        <w:t>the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recommended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initial</w:t>
      </w:r>
      <w:proofErr w:type="spellEnd"/>
      <w:r w:rsidRPr="00436A09">
        <w:rPr>
          <w:color w:val="0070C0"/>
        </w:rPr>
        <w:t xml:space="preserve"> dose </w:t>
      </w:r>
      <w:proofErr w:type="spellStart"/>
      <w:r w:rsidRPr="00436A09">
        <w:rPr>
          <w:color w:val="0070C0"/>
        </w:rPr>
        <w:t>is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reduced</w:t>
      </w:r>
      <w:proofErr w:type="spellEnd"/>
      <w:r w:rsidRPr="00436A09">
        <w:rPr>
          <w:color w:val="0070C0"/>
        </w:rPr>
        <w:t xml:space="preserve"> to 100 mg a </w:t>
      </w:r>
      <w:proofErr w:type="spellStart"/>
      <w:r w:rsidRPr="00436A09">
        <w:rPr>
          <w:color w:val="0070C0"/>
        </w:rPr>
        <w:t>day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administered</w:t>
      </w:r>
      <w:proofErr w:type="spellEnd"/>
      <w:r w:rsidRPr="00436A09">
        <w:rPr>
          <w:color w:val="0070C0"/>
        </w:rPr>
        <w:t xml:space="preserve"> in </w:t>
      </w:r>
      <w:proofErr w:type="spellStart"/>
      <w:r w:rsidRPr="00436A09">
        <w:rPr>
          <w:color w:val="0070C0"/>
        </w:rPr>
        <w:t>divided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doses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or</w:t>
      </w:r>
      <w:proofErr w:type="spellEnd"/>
      <w:r w:rsidRPr="00436A09">
        <w:rPr>
          <w:color w:val="0070C0"/>
        </w:rPr>
        <w:t xml:space="preserve"> as a single night </w:t>
      </w:r>
      <w:proofErr w:type="spellStart"/>
      <w:r w:rsidRPr="00436A09">
        <w:rPr>
          <w:color w:val="0070C0"/>
        </w:rPr>
        <w:t>time</w:t>
      </w:r>
      <w:proofErr w:type="spellEnd"/>
      <w:r w:rsidRPr="00436A09">
        <w:rPr>
          <w:color w:val="0070C0"/>
        </w:rPr>
        <w:t xml:space="preserve"> dose (</w:t>
      </w:r>
      <w:proofErr w:type="spellStart"/>
      <w:r w:rsidRPr="00436A09">
        <w:rPr>
          <w:color w:val="0070C0"/>
        </w:rPr>
        <w:t>See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Section</w:t>
      </w:r>
      <w:proofErr w:type="spellEnd"/>
      <w:r w:rsidRPr="00436A09">
        <w:rPr>
          <w:color w:val="0070C0"/>
        </w:rPr>
        <w:t xml:space="preserve"> 4.4). </w:t>
      </w:r>
      <w:proofErr w:type="spellStart"/>
      <w:r w:rsidRPr="00436A09">
        <w:rPr>
          <w:color w:val="0070C0"/>
        </w:rPr>
        <w:t>This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may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be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incrementally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increased</w:t>
      </w:r>
      <w:proofErr w:type="spellEnd"/>
      <w:r w:rsidRPr="00436A09">
        <w:rPr>
          <w:color w:val="0070C0"/>
        </w:rPr>
        <w:t xml:space="preserve"> as </w:t>
      </w:r>
      <w:proofErr w:type="spellStart"/>
      <w:r w:rsidRPr="00436A09">
        <w:rPr>
          <w:color w:val="0070C0"/>
        </w:rPr>
        <w:t>described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under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Adults</w:t>
      </w:r>
      <w:proofErr w:type="spellEnd"/>
      <w:r w:rsidRPr="00436A09">
        <w:rPr>
          <w:color w:val="0070C0"/>
        </w:rPr>
        <w:t xml:space="preserve">, </w:t>
      </w:r>
      <w:proofErr w:type="spellStart"/>
      <w:r w:rsidRPr="00436A09">
        <w:rPr>
          <w:color w:val="0070C0"/>
        </w:rPr>
        <w:t>under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supervision</w:t>
      </w:r>
      <w:proofErr w:type="spellEnd"/>
      <w:r w:rsidRPr="00436A09">
        <w:rPr>
          <w:color w:val="0070C0"/>
        </w:rPr>
        <w:t xml:space="preserve">, </w:t>
      </w:r>
      <w:proofErr w:type="spellStart"/>
      <w:r w:rsidRPr="00436A09">
        <w:rPr>
          <w:color w:val="0070C0"/>
        </w:rPr>
        <w:t>according</w:t>
      </w:r>
      <w:proofErr w:type="spellEnd"/>
      <w:r w:rsidRPr="00436A09">
        <w:rPr>
          <w:color w:val="0070C0"/>
        </w:rPr>
        <w:t xml:space="preserve"> to tolerance and </w:t>
      </w:r>
      <w:proofErr w:type="spellStart"/>
      <w:r w:rsidRPr="00436A09">
        <w:rPr>
          <w:color w:val="0070C0"/>
        </w:rPr>
        <w:t>efficacy</w:t>
      </w:r>
      <w:proofErr w:type="spellEnd"/>
      <w:r w:rsidRPr="00436A09">
        <w:rPr>
          <w:color w:val="0070C0"/>
        </w:rPr>
        <w:t>”</w:t>
      </w:r>
    </w:p>
    <w:p w:rsidR="00436A09" w:rsidRPr="00436A09" w:rsidRDefault="00436A09" w:rsidP="00436A09">
      <w:pPr>
        <w:rPr>
          <w:color w:val="0070C0"/>
        </w:rPr>
      </w:pPr>
      <w:proofErr w:type="spellStart"/>
      <w:r w:rsidRPr="00436A09">
        <w:rPr>
          <w:color w:val="0070C0"/>
        </w:rPr>
        <w:t>Section</w:t>
      </w:r>
      <w:proofErr w:type="spellEnd"/>
      <w:r w:rsidRPr="00436A09">
        <w:rPr>
          <w:color w:val="0070C0"/>
        </w:rPr>
        <w:t xml:space="preserve"> 4.4 – </w:t>
      </w:r>
      <w:proofErr w:type="spellStart"/>
      <w:r w:rsidRPr="00436A09">
        <w:rPr>
          <w:color w:val="0070C0"/>
        </w:rPr>
        <w:t>Suggest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separate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paragraph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for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elderly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patients</w:t>
      </w:r>
      <w:proofErr w:type="spellEnd"/>
      <w:r w:rsidRPr="00436A09">
        <w:rPr>
          <w:color w:val="0070C0"/>
        </w:rPr>
        <w:t>.</w:t>
      </w:r>
    </w:p>
    <w:p w:rsidR="00436A09" w:rsidRPr="00436A09" w:rsidRDefault="00436A09" w:rsidP="00436A09">
      <w:pPr>
        <w:rPr>
          <w:color w:val="0070C0"/>
        </w:rPr>
      </w:pPr>
      <w:r w:rsidRPr="00436A09">
        <w:rPr>
          <w:color w:val="0070C0"/>
        </w:rPr>
        <w:t>“</w:t>
      </w:r>
      <w:proofErr w:type="spellStart"/>
      <w:r w:rsidRPr="00436A09">
        <w:rPr>
          <w:color w:val="0070C0"/>
        </w:rPr>
        <w:t>Elderly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patients</w:t>
      </w:r>
      <w:proofErr w:type="spellEnd"/>
      <w:r w:rsidRPr="00436A09">
        <w:rPr>
          <w:color w:val="0070C0"/>
        </w:rPr>
        <w:t xml:space="preserve"> are more </w:t>
      </w:r>
      <w:proofErr w:type="spellStart"/>
      <w:r w:rsidRPr="00436A09">
        <w:rPr>
          <w:color w:val="0070C0"/>
        </w:rPr>
        <w:t>often</w:t>
      </w:r>
      <w:proofErr w:type="spellEnd"/>
      <w:r w:rsidRPr="00436A09">
        <w:rPr>
          <w:color w:val="0070C0"/>
        </w:rPr>
        <w:t xml:space="preserve"> more sensitive to </w:t>
      </w:r>
      <w:proofErr w:type="spellStart"/>
      <w:r w:rsidRPr="00436A09">
        <w:rPr>
          <w:color w:val="0070C0"/>
        </w:rPr>
        <w:t>antidepressants</w:t>
      </w:r>
      <w:proofErr w:type="spellEnd"/>
      <w:r w:rsidRPr="00436A09">
        <w:rPr>
          <w:color w:val="0070C0"/>
        </w:rPr>
        <w:t xml:space="preserve">, in </w:t>
      </w:r>
      <w:proofErr w:type="spellStart"/>
      <w:r w:rsidRPr="00436A09">
        <w:rPr>
          <w:color w:val="0070C0"/>
        </w:rPr>
        <w:t>particular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may</w:t>
      </w:r>
      <w:proofErr w:type="spellEnd"/>
      <w:r w:rsidRPr="00436A09">
        <w:rPr>
          <w:color w:val="0070C0"/>
        </w:rPr>
        <w:t xml:space="preserve"> more </w:t>
      </w:r>
      <w:proofErr w:type="spellStart"/>
      <w:r w:rsidRPr="00436A09">
        <w:rPr>
          <w:color w:val="0070C0"/>
        </w:rPr>
        <w:t>often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experience</w:t>
      </w:r>
      <w:proofErr w:type="spellEnd"/>
      <w:r w:rsidRPr="00436A09">
        <w:rPr>
          <w:color w:val="0070C0"/>
        </w:rPr>
        <w:t xml:space="preserve"> to </w:t>
      </w:r>
      <w:proofErr w:type="spellStart"/>
      <w:r w:rsidRPr="00436A09">
        <w:rPr>
          <w:color w:val="0070C0"/>
        </w:rPr>
        <w:t>orthostatic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hypotension</w:t>
      </w:r>
      <w:proofErr w:type="spellEnd"/>
      <w:r w:rsidRPr="00436A09">
        <w:rPr>
          <w:color w:val="0070C0"/>
        </w:rPr>
        <w:t xml:space="preserve">, somnolence, and </w:t>
      </w:r>
      <w:proofErr w:type="spellStart"/>
      <w:r w:rsidRPr="00436A09">
        <w:rPr>
          <w:color w:val="0070C0"/>
        </w:rPr>
        <w:t>other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anticholinergic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effects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of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trazodone</w:t>
      </w:r>
      <w:proofErr w:type="spellEnd"/>
      <w:r w:rsidRPr="00436A09">
        <w:rPr>
          <w:color w:val="0070C0"/>
        </w:rPr>
        <w:t xml:space="preserve">. </w:t>
      </w:r>
      <w:proofErr w:type="spellStart"/>
      <w:r w:rsidRPr="00436A09">
        <w:rPr>
          <w:color w:val="0070C0"/>
        </w:rPr>
        <w:t>Careful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consideration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should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be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given</w:t>
      </w:r>
      <w:proofErr w:type="spellEnd"/>
      <w:r w:rsidRPr="00436A09">
        <w:rPr>
          <w:color w:val="0070C0"/>
        </w:rPr>
        <w:t xml:space="preserve"> to </w:t>
      </w:r>
      <w:proofErr w:type="spellStart"/>
      <w:r w:rsidRPr="00436A09">
        <w:rPr>
          <w:color w:val="0070C0"/>
        </w:rPr>
        <w:t>the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potential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for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additive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effects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with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concomitant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medication</w:t>
      </w:r>
      <w:proofErr w:type="spellEnd"/>
      <w:r w:rsidRPr="00436A09">
        <w:rPr>
          <w:color w:val="0070C0"/>
        </w:rPr>
        <w:t xml:space="preserve"> use such as </w:t>
      </w:r>
      <w:proofErr w:type="spellStart"/>
      <w:r w:rsidRPr="00436A09">
        <w:rPr>
          <w:color w:val="0070C0"/>
        </w:rPr>
        <w:t>with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other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psychotropics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or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antihypertensives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or</w:t>
      </w:r>
      <w:proofErr w:type="spellEnd"/>
      <w:r w:rsidRPr="00436A09">
        <w:rPr>
          <w:color w:val="0070C0"/>
        </w:rPr>
        <w:t xml:space="preserve"> in </w:t>
      </w:r>
      <w:proofErr w:type="spellStart"/>
      <w:r w:rsidRPr="00436A09">
        <w:rPr>
          <w:color w:val="0070C0"/>
        </w:rPr>
        <w:t>the</w:t>
      </w:r>
      <w:proofErr w:type="spellEnd"/>
      <w:r w:rsidRPr="00436A09">
        <w:rPr>
          <w:color w:val="0070C0"/>
        </w:rPr>
        <w:t xml:space="preserve"> presence </w:t>
      </w:r>
      <w:proofErr w:type="spellStart"/>
      <w:r w:rsidRPr="00436A09">
        <w:rPr>
          <w:color w:val="0070C0"/>
        </w:rPr>
        <w:t>of</w:t>
      </w:r>
      <w:proofErr w:type="spellEnd"/>
      <w:r w:rsidRPr="00436A09">
        <w:rPr>
          <w:color w:val="0070C0"/>
        </w:rPr>
        <w:t xml:space="preserve"> risk </w:t>
      </w:r>
      <w:proofErr w:type="spellStart"/>
      <w:r w:rsidRPr="00436A09">
        <w:rPr>
          <w:color w:val="0070C0"/>
        </w:rPr>
        <w:t>factors</w:t>
      </w:r>
      <w:proofErr w:type="spellEnd"/>
      <w:r w:rsidRPr="00436A09">
        <w:rPr>
          <w:color w:val="0070C0"/>
        </w:rPr>
        <w:t xml:space="preserve"> such as </w:t>
      </w:r>
      <w:proofErr w:type="spellStart"/>
      <w:r w:rsidRPr="00436A09">
        <w:rPr>
          <w:color w:val="0070C0"/>
        </w:rPr>
        <w:t>comorbid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disease</w:t>
      </w:r>
      <w:proofErr w:type="spellEnd"/>
      <w:r w:rsidRPr="00436A09">
        <w:rPr>
          <w:color w:val="0070C0"/>
        </w:rPr>
        <w:t xml:space="preserve">, </w:t>
      </w:r>
      <w:proofErr w:type="spellStart"/>
      <w:r w:rsidRPr="00436A09">
        <w:rPr>
          <w:color w:val="0070C0"/>
        </w:rPr>
        <w:t>which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may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exacerbate</w:t>
      </w:r>
      <w:proofErr w:type="spellEnd"/>
      <w:r w:rsidRPr="00436A09">
        <w:rPr>
          <w:color w:val="0070C0"/>
        </w:rPr>
        <w:t xml:space="preserve"> these </w:t>
      </w:r>
      <w:proofErr w:type="spellStart"/>
      <w:r w:rsidRPr="00436A09">
        <w:rPr>
          <w:color w:val="0070C0"/>
        </w:rPr>
        <w:t>reactions</w:t>
      </w:r>
      <w:proofErr w:type="spellEnd"/>
      <w:r w:rsidRPr="00436A09">
        <w:rPr>
          <w:color w:val="0070C0"/>
        </w:rPr>
        <w:t xml:space="preserve">.  </w:t>
      </w:r>
      <w:proofErr w:type="spellStart"/>
      <w:r w:rsidRPr="00436A09">
        <w:rPr>
          <w:color w:val="0070C0"/>
        </w:rPr>
        <w:t>It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is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recommended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that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the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patient</w:t>
      </w:r>
      <w:proofErr w:type="spellEnd"/>
      <w:r w:rsidRPr="00436A09">
        <w:rPr>
          <w:color w:val="0070C0"/>
        </w:rPr>
        <w:t>/</w:t>
      </w:r>
      <w:proofErr w:type="spellStart"/>
      <w:r w:rsidRPr="00436A09">
        <w:rPr>
          <w:color w:val="0070C0"/>
        </w:rPr>
        <w:t>carer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is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informed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of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the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potential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for</w:t>
      </w:r>
      <w:proofErr w:type="spellEnd"/>
      <w:r w:rsidRPr="00436A09">
        <w:rPr>
          <w:color w:val="0070C0"/>
        </w:rPr>
        <w:t xml:space="preserve"> these </w:t>
      </w:r>
      <w:proofErr w:type="spellStart"/>
      <w:r w:rsidRPr="00436A09">
        <w:rPr>
          <w:color w:val="0070C0"/>
        </w:rPr>
        <w:t>reactions</w:t>
      </w:r>
      <w:proofErr w:type="spellEnd"/>
      <w:r w:rsidRPr="00436A09">
        <w:rPr>
          <w:color w:val="0070C0"/>
        </w:rPr>
        <w:t xml:space="preserve"> and </w:t>
      </w:r>
      <w:proofErr w:type="spellStart"/>
      <w:r w:rsidRPr="00436A09">
        <w:rPr>
          <w:color w:val="0070C0"/>
        </w:rPr>
        <w:t>monitored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closely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for</w:t>
      </w:r>
      <w:proofErr w:type="spellEnd"/>
      <w:r w:rsidRPr="00436A09">
        <w:rPr>
          <w:color w:val="0070C0"/>
        </w:rPr>
        <w:t xml:space="preserve"> such </w:t>
      </w:r>
      <w:proofErr w:type="spellStart"/>
      <w:r w:rsidRPr="00436A09">
        <w:rPr>
          <w:color w:val="0070C0"/>
        </w:rPr>
        <w:t>effects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following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initiation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of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therapy</w:t>
      </w:r>
      <w:proofErr w:type="spellEnd"/>
      <w:r w:rsidRPr="00436A09">
        <w:rPr>
          <w:color w:val="0070C0"/>
        </w:rPr>
        <w:t xml:space="preserve">, prior to and </w:t>
      </w:r>
      <w:proofErr w:type="spellStart"/>
      <w:r w:rsidRPr="00436A09">
        <w:rPr>
          <w:color w:val="0070C0"/>
        </w:rPr>
        <w:t>following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upward</w:t>
      </w:r>
      <w:proofErr w:type="spellEnd"/>
      <w:r w:rsidRPr="00436A09">
        <w:rPr>
          <w:color w:val="0070C0"/>
        </w:rPr>
        <w:t xml:space="preserve"> dose </w:t>
      </w:r>
      <w:proofErr w:type="spellStart"/>
      <w:r w:rsidRPr="00436A09">
        <w:rPr>
          <w:color w:val="0070C0"/>
        </w:rPr>
        <w:t>titration</w:t>
      </w:r>
      <w:proofErr w:type="spellEnd"/>
      <w:r w:rsidRPr="00436A09">
        <w:rPr>
          <w:color w:val="0070C0"/>
        </w:rPr>
        <w:t>.”</w:t>
      </w:r>
    </w:p>
    <w:p w:rsidR="00436A09" w:rsidRPr="00436A09" w:rsidRDefault="00436A09" w:rsidP="00436A09">
      <w:pPr>
        <w:rPr>
          <w:color w:val="0070C0"/>
        </w:rPr>
      </w:pPr>
      <w:proofErr w:type="spellStart"/>
      <w:r w:rsidRPr="00436A09">
        <w:rPr>
          <w:color w:val="0070C0"/>
        </w:rPr>
        <w:t>Relevant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sections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of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patient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leaflet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should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be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updated</w:t>
      </w:r>
      <w:proofErr w:type="spellEnd"/>
      <w:r w:rsidRPr="00436A09">
        <w:rPr>
          <w:color w:val="0070C0"/>
        </w:rPr>
        <w:t xml:space="preserve"> </w:t>
      </w:r>
      <w:proofErr w:type="spellStart"/>
      <w:r w:rsidRPr="00436A09">
        <w:rPr>
          <w:color w:val="0070C0"/>
        </w:rPr>
        <w:t>accordingly</w:t>
      </w:r>
      <w:proofErr w:type="spellEnd"/>
      <w:r w:rsidRPr="00436A09">
        <w:rPr>
          <w:color w:val="0070C0"/>
        </w:rPr>
        <w:t>.</w:t>
      </w:r>
    </w:p>
    <w:p w:rsidR="00ED4EC0" w:rsidRDefault="00ED4EC0"/>
    <w:sectPr w:rsidR="00ED4EC0" w:rsidSect="00F40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A09"/>
    <w:rsid w:val="00011F4A"/>
    <w:rsid w:val="00156861"/>
    <w:rsid w:val="00183A52"/>
    <w:rsid w:val="00185553"/>
    <w:rsid w:val="00436A09"/>
    <w:rsid w:val="00511E8D"/>
    <w:rsid w:val="00544EF5"/>
    <w:rsid w:val="0076238B"/>
    <w:rsid w:val="009B3808"/>
    <w:rsid w:val="00D638F4"/>
    <w:rsid w:val="00E76F8E"/>
    <w:rsid w:val="00EA4E19"/>
    <w:rsid w:val="00ED4EC0"/>
    <w:rsid w:val="00F40445"/>
    <w:rsid w:val="00FA1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861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18555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8555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8555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8555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85553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861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18555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8555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8555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8555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8555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7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1960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Kaftanová Petra</dc:creator>
  <cp:lastModifiedBy>Němcová Kristýna</cp:lastModifiedBy>
  <cp:revision>2</cp:revision>
  <dcterms:created xsi:type="dcterms:W3CDTF">2013-10-07T13:18:00Z</dcterms:created>
  <dcterms:modified xsi:type="dcterms:W3CDTF">2013-10-07T13:18:00Z</dcterms:modified>
</cp:coreProperties>
</file>